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271" w14:textId="059ECDDD" w:rsidR="00D65CF7" w:rsidRPr="00417E23" w:rsidRDefault="004C7FB2" w:rsidP="00D65CF7">
      <w:pPr>
        <w:pStyle w:val="Heading1"/>
      </w:pPr>
      <w:r>
        <w:t>Guid</w:t>
      </w:r>
      <w:r w:rsidR="00405FD8">
        <w:t>eline</w:t>
      </w:r>
      <w:r>
        <w:t xml:space="preserve"> on </w:t>
      </w:r>
      <w:r w:rsidR="00240ABB">
        <w:t>Wrong Way Risk Margin Add-on</w:t>
      </w:r>
    </w:p>
    <w:p w14:paraId="7B8666B7" w14:textId="4A770771" w:rsidR="00D65CF7" w:rsidRPr="002919AB" w:rsidRDefault="00ED59CB" w:rsidP="00D65CF7">
      <w:pPr>
        <w:rPr>
          <w:rFonts w:asciiTheme="minorHAnsi" w:hAnsiTheme="minorHAnsi"/>
          <w:sz w:val="20"/>
          <w:szCs w:val="20"/>
        </w:rPr>
      </w:pPr>
      <w:r>
        <w:rPr>
          <w:rFonts w:asciiTheme="minorHAnsi" w:hAnsiTheme="minorHAnsi"/>
          <w:b/>
          <w:sz w:val="20"/>
          <w:szCs w:val="20"/>
        </w:rPr>
        <w:t>Last update</w:t>
      </w:r>
      <w:r w:rsidR="002C4F3E">
        <w:rPr>
          <w:rFonts w:asciiTheme="minorHAnsi" w:hAnsiTheme="minorHAnsi"/>
          <w:b/>
          <w:sz w:val="20"/>
          <w:szCs w:val="20"/>
        </w:rPr>
        <w:t xml:space="preserve">: </w:t>
      </w:r>
      <w:r w:rsidR="00EC023E">
        <w:rPr>
          <w:rFonts w:asciiTheme="minorHAnsi" w:hAnsiTheme="minorHAnsi"/>
          <w:b/>
          <w:sz w:val="20"/>
          <w:szCs w:val="20"/>
        </w:rPr>
        <w:t>202</w:t>
      </w:r>
      <w:r w:rsidR="00BF5D31">
        <w:rPr>
          <w:rFonts w:asciiTheme="minorHAnsi" w:hAnsiTheme="minorHAnsi"/>
          <w:b/>
          <w:sz w:val="20"/>
          <w:szCs w:val="20"/>
        </w:rPr>
        <w:t>6</w:t>
      </w:r>
      <w:r w:rsidR="00EC023E">
        <w:rPr>
          <w:rFonts w:asciiTheme="minorHAnsi" w:hAnsiTheme="minorHAnsi"/>
          <w:b/>
          <w:sz w:val="20"/>
          <w:szCs w:val="20"/>
        </w:rPr>
        <w:t>-</w:t>
      </w:r>
      <w:r w:rsidR="00BF5D31">
        <w:rPr>
          <w:rFonts w:asciiTheme="minorHAnsi" w:hAnsiTheme="minorHAnsi"/>
          <w:b/>
          <w:sz w:val="20"/>
          <w:szCs w:val="20"/>
        </w:rPr>
        <w:t>06</w:t>
      </w:r>
      <w:r w:rsidR="00485FB8">
        <w:rPr>
          <w:rFonts w:asciiTheme="minorHAnsi" w:hAnsiTheme="minorHAnsi"/>
          <w:b/>
          <w:sz w:val="20"/>
          <w:szCs w:val="20"/>
        </w:rPr>
        <w:t>-</w:t>
      </w:r>
      <w:r w:rsidR="00BF5D31">
        <w:rPr>
          <w:rFonts w:asciiTheme="minorHAnsi" w:hAnsiTheme="minorHAnsi"/>
          <w:b/>
          <w:sz w:val="20"/>
          <w:szCs w:val="20"/>
        </w:rPr>
        <w:t>22</w:t>
      </w:r>
    </w:p>
    <w:p w14:paraId="1BA3661E" w14:textId="1686A5BC" w:rsidR="00CA3AA6" w:rsidRDefault="00CA3AA6" w:rsidP="00C9701E">
      <w:pPr>
        <w:pStyle w:val="nasdaqsubhead"/>
        <w:ind w:left="0"/>
      </w:pPr>
      <w:r>
        <w:t xml:space="preserve">Scope of this guideline </w:t>
      </w:r>
    </w:p>
    <w:p w14:paraId="5999783A" w14:textId="6FA63D6E" w:rsidR="00CA3AA6" w:rsidRDefault="00CA3AA6" w:rsidP="00C9701E">
      <w:pPr>
        <w:pStyle w:val="nasdaqsubhead"/>
        <w:ind w:left="0"/>
      </w:pPr>
    </w:p>
    <w:p w14:paraId="09470588" w14:textId="54FCA657" w:rsidR="00E33020" w:rsidRDefault="00CA3AA6" w:rsidP="00C9701E">
      <w:pPr>
        <w:pStyle w:val="nasdaqsubhead"/>
        <w:ind w:left="0"/>
        <w:rPr>
          <w:rFonts w:asciiTheme="minorHAnsi" w:eastAsiaTheme="minorEastAsia" w:hAnsiTheme="minorHAnsi" w:cstheme="minorBidi"/>
          <w:b w:val="0"/>
          <w:caps w:val="0"/>
          <w:color w:val="auto"/>
          <w:spacing w:val="0"/>
          <w:sz w:val="20"/>
          <w:lang w:eastAsia="zh-CN"/>
        </w:rPr>
      </w:pPr>
      <w:r>
        <w:rPr>
          <w:rFonts w:asciiTheme="minorHAnsi" w:eastAsiaTheme="minorEastAsia" w:hAnsiTheme="minorHAnsi" w:cstheme="minorBidi"/>
          <w:b w:val="0"/>
          <w:caps w:val="0"/>
          <w:color w:val="auto"/>
          <w:spacing w:val="0"/>
          <w:sz w:val="20"/>
          <w:lang w:eastAsia="zh-CN"/>
        </w:rPr>
        <w:t xml:space="preserve">This guideline covers </w:t>
      </w:r>
      <w:r w:rsidR="00E33020" w:rsidRPr="00E33020">
        <w:rPr>
          <w:rFonts w:asciiTheme="minorHAnsi" w:eastAsiaTheme="minorEastAsia" w:hAnsiTheme="minorHAnsi" w:cstheme="minorBidi"/>
          <w:b w:val="0"/>
          <w:caps w:val="0"/>
          <w:color w:val="auto"/>
          <w:spacing w:val="0"/>
          <w:sz w:val="20"/>
          <w:lang w:eastAsia="zh-CN"/>
        </w:rPr>
        <w:t xml:space="preserve">the </w:t>
      </w:r>
      <w:r w:rsidR="003A16D6">
        <w:rPr>
          <w:rFonts w:asciiTheme="minorHAnsi" w:eastAsiaTheme="minorEastAsia" w:hAnsiTheme="minorHAnsi" w:cstheme="minorBidi"/>
          <w:b w:val="0"/>
          <w:caps w:val="0"/>
          <w:color w:val="auto"/>
          <w:spacing w:val="0"/>
          <w:sz w:val="20"/>
          <w:lang w:eastAsia="zh-CN"/>
        </w:rPr>
        <w:t>Wrong Way Risk (WWR) M</w:t>
      </w:r>
      <w:r w:rsidR="00E33020" w:rsidRPr="00E33020">
        <w:rPr>
          <w:rFonts w:asciiTheme="minorHAnsi" w:eastAsiaTheme="minorEastAsia" w:hAnsiTheme="minorHAnsi" w:cstheme="minorBidi"/>
          <w:b w:val="0"/>
          <w:caps w:val="0"/>
          <w:color w:val="auto"/>
          <w:spacing w:val="0"/>
          <w:sz w:val="20"/>
          <w:lang w:eastAsia="zh-CN"/>
        </w:rPr>
        <w:t xml:space="preserve">argin </w:t>
      </w:r>
      <w:r w:rsidR="003A16D6">
        <w:rPr>
          <w:rFonts w:asciiTheme="minorHAnsi" w:eastAsiaTheme="minorEastAsia" w:hAnsiTheme="minorHAnsi" w:cstheme="minorBidi"/>
          <w:b w:val="0"/>
          <w:caps w:val="0"/>
          <w:color w:val="auto"/>
          <w:spacing w:val="0"/>
          <w:sz w:val="20"/>
          <w:lang w:eastAsia="zh-CN"/>
        </w:rPr>
        <w:t>A</w:t>
      </w:r>
      <w:r w:rsidR="00E33020" w:rsidRPr="00E33020">
        <w:rPr>
          <w:rFonts w:asciiTheme="minorHAnsi" w:eastAsiaTheme="minorEastAsia" w:hAnsiTheme="minorHAnsi" w:cstheme="minorBidi"/>
          <w:b w:val="0"/>
          <w:caps w:val="0"/>
          <w:color w:val="auto"/>
          <w:spacing w:val="0"/>
          <w:sz w:val="20"/>
          <w:lang w:eastAsia="zh-CN"/>
        </w:rPr>
        <w:t xml:space="preserve">dd-on methodology applied by Nasdaq Clearing to capture WWR in cleared </w:t>
      </w:r>
      <w:r w:rsidR="00BF5D31">
        <w:rPr>
          <w:rFonts w:asciiTheme="minorHAnsi" w:eastAsiaTheme="minorEastAsia" w:hAnsiTheme="minorHAnsi" w:cstheme="minorBidi"/>
          <w:b w:val="0"/>
          <w:caps w:val="0"/>
          <w:color w:val="auto"/>
          <w:spacing w:val="0"/>
          <w:sz w:val="20"/>
          <w:lang w:eastAsia="zh-CN"/>
        </w:rPr>
        <w:t xml:space="preserve">derivatives </w:t>
      </w:r>
      <w:r w:rsidR="00E33020" w:rsidRPr="00E33020">
        <w:rPr>
          <w:rFonts w:asciiTheme="minorHAnsi" w:eastAsiaTheme="minorEastAsia" w:hAnsiTheme="minorHAnsi" w:cstheme="minorBidi"/>
          <w:b w:val="0"/>
          <w:caps w:val="0"/>
          <w:color w:val="auto"/>
          <w:spacing w:val="0"/>
          <w:sz w:val="20"/>
          <w:lang w:eastAsia="zh-CN"/>
        </w:rPr>
        <w:t xml:space="preserve">positions. A WWR </w:t>
      </w:r>
      <w:r w:rsidR="003A16D6">
        <w:rPr>
          <w:rFonts w:asciiTheme="minorHAnsi" w:eastAsiaTheme="minorEastAsia" w:hAnsiTheme="minorHAnsi" w:cstheme="minorBidi"/>
          <w:b w:val="0"/>
          <w:caps w:val="0"/>
          <w:color w:val="auto"/>
          <w:spacing w:val="0"/>
          <w:sz w:val="20"/>
          <w:lang w:eastAsia="zh-CN"/>
        </w:rPr>
        <w:t>M</w:t>
      </w:r>
      <w:r w:rsidR="00E33020" w:rsidRPr="00E33020">
        <w:rPr>
          <w:rFonts w:asciiTheme="minorHAnsi" w:eastAsiaTheme="minorEastAsia" w:hAnsiTheme="minorHAnsi" w:cstheme="minorBidi"/>
          <w:b w:val="0"/>
          <w:caps w:val="0"/>
          <w:color w:val="auto"/>
          <w:spacing w:val="0"/>
          <w:sz w:val="20"/>
          <w:lang w:eastAsia="zh-CN"/>
        </w:rPr>
        <w:t xml:space="preserve">argin </w:t>
      </w:r>
      <w:r w:rsidR="003A16D6">
        <w:rPr>
          <w:rFonts w:asciiTheme="minorHAnsi" w:eastAsiaTheme="minorEastAsia" w:hAnsiTheme="minorHAnsi" w:cstheme="minorBidi"/>
          <w:b w:val="0"/>
          <w:caps w:val="0"/>
          <w:color w:val="auto"/>
          <w:spacing w:val="0"/>
          <w:sz w:val="20"/>
          <w:lang w:eastAsia="zh-CN"/>
        </w:rPr>
        <w:t>A</w:t>
      </w:r>
      <w:r w:rsidR="00E33020" w:rsidRPr="00E33020">
        <w:rPr>
          <w:rFonts w:asciiTheme="minorHAnsi" w:eastAsiaTheme="minorEastAsia" w:hAnsiTheme="minorHAnsi" w:cstheme="minorBidi"/>
          <w:b w:val="0"/>
          <w:caps w:val="0"/>
          <w:color w:val="auto"/>
          <w:spacing w:val="0"/>
          <w:sz w:val="20"/>
          <w:lang w:eastAsia="zh-CN"/>
        </w:rPr>
        <w:t xml:space="preserve">dd-on is applied to mitigate the risk that the exposure </w:t>
      </w:r>
      <w:proofErr w:type="gramStart"/>
      <w:r w:rsidR="00E33020" w:rsidRPr="00E33020">
        <w:rPr>
          <w:rFonts w:asciiTheme="minorHAnsi" w:eastAsiaTheme="minorEastAsia" w:hAnsiTheme="minorHAnsi" w:cstheme="minorBidi"/>
          <w:b w:val="0"/>
          <w:caps w:val="0"/>
          <w:color w:val="auto"/>
          <w:spacing w:val="0"/>
          <w:sz w:val="20"/>
          <w:lang w:eastAsia="zh-CN"/>
        </w:rPr>
        <w:t>in</w:t>
      </w:r>
      <w:proofErr w:type="gramEnd"/>
      <w:r w:rsidR="00E33020" w:rsidRPr="00E33020">
        <w:rPr>
          <w:rFonts w:asciiTheme="minorHAnsi" w:eastAsiaTheme="minorEastAsia" w:hAnsiTheme="minorHAnsi" w:cstheme="minorBidi"/>
          <w:b w:val="0"/>
          <w:caps w:val="0"/>
          <w:color w:val="auto"/>
          <w:spacing w:val="0"/>
          <w:sz w:val="20"/>
          <w:lang w:eastAsia="zh-CN"/>
        </w:rPr>
        <w:t xml:space="preserve"> cleared positions could increase in </w:t>
      </w:r>
      <w:r w:rsidR="00BF5D31" w:rsidRPr="00E33020">
        <w:rPr>
          <w:rFonts w:asciiTheme="minorHAnsi" w:eastAsiaTheme="minorEastAsia" w:hAnsiTheme="minorHAnsi" w:cstheme="minorBidi"/>
          <w:b w:val="0"/>
          <w:caps w:val="0"/>
          <w:color w:val="auto"/>
          <w:spacing w:val="0"/>
          <w:sz w:val="20"/>
          <w:lang w:eastAsia="zh-CN"/>
        </w:rPr>
        <w:t>parallel</w:t>
      </w:r>
      <w:r w:rsidR="00E33020" w:rsidRPr="00E33020">
        <w:rPr>
          <w:rFonts w:asciiTheme="minorHAnsi" w:eastAsiaTheme="minorEastAsia" w:hAnsiTheme="minorHAnsi" w:cstheme="minorBidi"/>
          <w:b w:val="0"/>
          <w:caps w:val="0"/>
          <w:color w:val="auto"/>
          <w:spacing w:val="0"/>
          <w:sz w:val="20"/>
          <w:lang w:eastAsia="zh-CN"/>
        </w:rPr>
        <w:t xml:space="preserve"> with the deterioration of the credit worthiness of the clearing member holding those cleared positions.</w:t>
      </w:r>
    </w:p>
    <w:p w14:paraId="5A031110" w14:textId="42B27B90" w:rsidR="00AA0E5C" w:rsidRDefault="00AA0E5C" w:rsidP="00C9701E">
      <w:pPr>
        <w:pStyle w:val="nasdaqsubhead"/>
        <w:ind w:left="0"/>
        <w:rPr>
          <w:rFonts w:asciiTheme="minorHAnsi" w:eastAsiaTheme="minorEastAsia" w:hAnsiTheme="minorHAnsi" w:cstheme="minorBidi"/>
          <w:b w:val="0"/>
          <w:caps w:val="0"/>
          <w:color w:val="auto"/>
          <w:spacing w:val="0"/>
          <w:sz w:val="20"/>
          <w:lang w:eastAsia="zh-CN"/>
        </w:rPr>
      </w:pPr>
    </w:p>
    <w:p w14:paraId="578FA889" w14:textId="10EA0116" w:rsidR="00CA3AA6" w:rsidRDefault="00080B83" w:rsidP="00C9701E">
      <w:pPr>
        <w:pStyle w:val="nasdaqsubhead"/>
        <w:ind w:left="0"/>
        <w:rPr>
          <w:rFonts w:asciiTheme="minorHAnsi" w:eastAsiaTheme="minorEastAsia" w:hAnsiTheme="minorHAnsi" w:cstheme="minorBidi"/>
          <w:b w:val="0"/>
          <w:caps w:val="0"/>
          <w:color w:val="auto"/>
          <w:spacing w:val="0"/>
          <w:sz w:val="20"/>
          <w:lang w:eastAsia="zh-CN"/>
        </w:rPr>
      </w:pPr>
      <w:r>
        <w:rPr>
          <w:rFonts w:asciiTheme="minorHAnsi" w:eastAsiaTheme="minorEastAsia" w:hAnsiTheme="minorHAnsi" w:cstheme="minorBidi"/>
          <w:b w:val="0"/>
          <w:caps w:val="0"/>
          <w:color w:val="auto"/>
          <w:spacing w:val="0"/>
          <w:sz w:val="20"/>
          <w:lang w:eastAsia="zh-CN"/>
        </w:rPr>
        <w:t>The WWR M</w:t>
      </w:r>
      <w:r w:rsidR="00AA0E5C" w:rsidRPr="00AA0E5C">
        <w:rPr>
          <w:rFonts w:asciiTheme="minorHAnsi" w:eastAsiaTheme="minorEastAsia" w:hAnsiTheme="minorHAnsi" w:cstheme="minorBidi"/>
          <w:b w:val="0"/>
          <w:caps w:val="0"/>
          <w:color w:val="auto"/>
          <w:spacing w:val="0"/>
          <w:sz w:val="20"/>
          <w:lang w:eastAsia="zh-CN"/>
        </w:rPr>
        <w:t xml:space="preserve">argin </w:t>
      </w:r>
      <w:r>
        <w:rPr>
          <w:rFonts w:asciiTheme="minorHAnsi" w:eastAsiaTheme="minorEastAsia" w:hAnsiTheme="minorHAnsi" w:cstheme="minorBidi"/>
          <w:b w:val="0"/>
          <w:caps w:val="0"/>
          <w:color w:val="auto"/>
          <w:spacing w:val="0"/>
          <w:sz w:val="20"/>
          <w:lang w:eastAsia="zh-CN"/>
        </w:rPr>
        <w:t>A</w:t>
      </w:r>
      <w:r w:rsidR="00AA0E5C" w:rsidRPr="00AA0E5C">
        <w:rPr>
          <w:rFonts w:asciiTheme="minorHAnsi" w:eastAsiaTheme="minorEastAsia" w:hAnsiTheme="minorHAnsi" w:cstheme="minorBidi"/>
          <w:b w:val="0"/>
          <w:caps w:val="0"/>
          <w:color w:val="auto"/>
          <w:spacing w:val="0"/>
          <w:sz w:val="20"/>
          <w:lang w:eastAsia="zh-CN"/>
        </w:rPr>
        <w:t>dd-on applies to all equity derivatives except index products.</w:t>
      </w:r>
      <w:r w:rsidR="00AA0E5C">
        <w:rPr>
          <w:rFonts w:asciiTheme="minorHAnsi" w:eastAsiaTheme="minorEastAsia" w:hAnsiTheme="minorHAnsi" w:cstheme="minorBidi"/>
          <w:b w:val="0"/>
          <w:caps w:val="0"/>
          <w:color w:val="auto"/>
          <w:spacing w:val="0"/>
          <w:sz w:val="20"/>
          <w:lang w:eastAsia="zh-CN"/>
        </w:rPr>
        <w:t xml:space="preserve"> </w:t>
      </w:r>
      <w:r w:rsidR="00AA0E5C" w:rsidRPr="00AA0E5C">
        <w:rPr>
          <w:rFonts w:asciiTheme="minorHAnsi" w:eastAsiaTheme="minorEastAsia" w:hAnsiTheme="minorHAnsi" w:cstheme="minorBidi"/>
          <w:b w:val="0"/>
          <w:caps w:val="0"/>
          <w:color w:val="auto"/>
          <w:spacing w:val="0"/>
          <w:sz w:val="20"/>
          <w:lang w:eastAsia="zh-CN"/>
        </w:rPr>
        <w:t xml:space="preserve">For F/I derivatives there is currently no WWR </w:t>
      </w:r>
      <w:r>
        <w:rPr>
          <w:rFonts w:asciiTheme="minorHAnsi" w:eastAsiaTheme="minorEastAsia" w:hAnsiTheme="minorHAnsi" w:cstheme="minorBidi"/>
          <w:b w:val="0"/>
          <w:caps w:val="0"/>
          <w:color w:val="auto"/>
          <w:spacing w:val="0"/>
          <w:sz w:val="20"/>
          <w:lang w:eastAsia="zh-CN"/>
        </w:rPr>
        <w:t>M</w:t>
      </w:r>
      <w:r w:rsidR="00AA0E5C" w:rsidRPr="00AA0E5C">
        <w:rPr>
          <w:rFonts w:asciiTheme="minorHAnsi" w:eastAsiaTheme="minorEastAsia" w:hAnsiTheme="minorHAnsi" w:cstheme="minorBidi"/>
          <w:b w:val="0"/>
          <w:caps w:val="0"/>
          <w:color w:val="auto"/>
          <w:spacing w:val="0"/>
          <w:sz w:val="20"/>
          <w:lang w:eastAsia="zh-CN"/>
        </w:rPr>
        <w:t xml:space="preserve">argin </w:t>
      </w:r>
      <w:r>
        <w:rPr>
          <w:rFonts w:asciiTheme="minorHAnsi" w:eastAsiaTheme="minorEastAsia" w:hAnsiTheme="minorHAnsi" w:cstheme="minorBidi"/>
          <w:b w:val="0"/>
          <w:caps w:val="0"/>
          <w:color w:val="auto"/>
          <w:spacing w:val="0"/>
          <w:sz w:val="20"/>
          <w:lang w:eastAsia="zh-CN"/>
        </w:rPr>
        <w:t>A</w:t>
      </w:r>
      <w:r w:rsidR="00AA0E5C" w:rsidRPr="00AA0E5C">
        <w:rPr>
          <w:rFonts w:asciiTheme="minorHAnsi" w:eastAsiaTheme="minorEastAsia" w:hAnsiTheme="minorHAnsi" w:cstheme="minorBidi"/>
          <w:b w:val="0"/>
          <w:caps w:val="0"/>
          <w:color w:val="auto"/>
          <w:spacing w:val="0"/>
          <w:sz w:val="20"/>
          <w:lang w:eastAsia="zh-CN"/>
        </w:rPr>
        <w:t>dd-on.</w:t>
      </w:r>
      <w:r w:rsidR="003A16D6">
        <w:rPr>
          <w:rFonts w:asciiTheme="minorHAnsi" w:eastAsiaTheme="minorEastAsia" w:hAnsiTheme="minorHAnsi" w:cstheme="minorBidi"/>
          <w:b w:val="0"/>
          <w:caps w:val="0"/>
          <w:color w:val="auto"/>
          <w:spacing w:val="0"/>
          <w:sz w:val="20"/>
          <w:lang w:eastAsia="zh-CN"/>
        </w:rPr>
        <w:t xml:space="preserve"> </w:t>
      </w:r>
      <w:r w:rsidR="003A16D6" w:rsidRPr="006C487E">
        <w:rPr>
          <w:rFonts w:asciiTheme="minorHAnsi" w:eastAsiaTheme="minorEastAsia" w:hAnsiTheme="minorHAnsi" w:cstheme="minorBidi"/>
          <w:b w:val="0"/>
          <w:caps w:val="0"/>
          <w:color w:val="auto"/>
          <w:spacing w:val="0"/>
          <w:sz w:val="20"/>
          <w:lang w:eastAsia="zh-CN"/>
        </w:rPr>
        <w:t xml:space="preserve">The WWR </w:t>
      </w:r>
      <w:r>
        <w:rPr>
          <w:rFonts w:asciiTheme="minorHAnsi" w:eastAsiaTheme="minorEastAsia" w:hAnsiTheme="minorHAnsi" w:cstheme="minorBidi"/>
          <w:b w:val="0"/>
          <w:caps w:val="0"/>
          <w:color w:val="auto"/>
          <w:spacing w:val="0"/>
          <w:sz w:val="20"/>
          <w:lang w:eastAsia="zh-CN"/>
        </w:rPr>
        <w:t>M</w:t>
      </w:r>
      <w:r w:rsidR="003A16D6" w:rsidRPr="006C487E">
        <w:rPr>
          <w:rFonts w:asciiTheme="minorHAnsi" w:eastAsiaTheme="minorEastAsia" w:hAnsiTheme="minorHAnsi" w:cstheme="minorBidi"/>
          <w:b w:val="0"/>
          <w:caps w:val="0"/>
          <w:color w:val="auto"/>
          <w:spacing w:val="0"/>
          <w:sz w:val="20"/>
          <w:lang w:eastAsia="zh-CN"/>
        </w:rPr>
        <w:t xml:space="preserve">argin </w:t>
      </w:r>
      <w:r>
        <w:rPr>
          <w:rFonts w:asciiTheme="minorHAnsi" w:eastAsiaTheme="minorEastAsia" w:hAnsiTheme="minorHAnsi" w:cstheme="minorBidi"/>
          <w:b w:val="0"/>
          <w:caps w:val="0"/>
          <w:color w:val="auto"/>
          <w:spacing w:val="0"/>
          <w:sz w:val="20"/>
          <w:lang w:eastAsia="zh-CN"/>
        </w:rPr>
        <w:t>A</w:t>
      </w:r>
      <w:r w:rsidR="003A16D6" w:rsidRPr="006C487E">
        <w:rPr>
          <w:rFonts w:asciiTheme="minorHAnsi" w:eastAsiaTheme="minorEastAsia" w:hAnsiTheme="minorHAnsi" w:cstheme="minorBidi"/>
          <w:b w:val="0"/>
          <w:caps w:val="0"/>
          <w:color w:val="auto"/>
          <w:spacing w:val="0"/>
          <w:sz w:val="20"/>
          <w:lang w:eastAsia="zh-CN"/>
        </w:rPr>
        <w:t xml:space="preserve">dd-on covers only direct issuer/counterparty WWR, </w:t>
      </w:r>
      <w:r w:rsidR="00BF5D31">
        <w:rPr>
          <w:rFonts w:asciiTheme="minorHAnsi" w:eastAsiaTheme="minorEastAsia" w:hAnsiTheme="minorHAnsi" w:cstheme="minorBidi"/>
          <w:b w:val="0"/>
          <w:caps w:val="0"/>
          <w:color w:val="auto"/>
          <w:spacing w:val="0"/>
          <w:sz w:val="20"/>
          <w:lang w:eastAsia="zh-CN"/>
        </w:rPr>
        <w:t>no</w:t>
      </w:r>
      <w:r w:rsidR="003A16D6" w:rsidRPr="006C487E">
        <w:rPr>
          <w:rFonts w:asciiTheme="minorHAnsi" w:eastAsiaTheme="minorEastAsia" w:hAnsiTheme="minorHAnsi" w:cstheme="minorBidi"/>
          <w:b w:val="0"/>
          <w:caps w:val="0"/>
          <w:color w:val="auto"/>
          <w:spacing w:val="0"/>
          <w:sz w:val="20"/>
          <w:lang w:eastAsia="zh-CN"/>
        </w:rPr>
        <w:t xml:space="preserve"> </w:t>
      </w:r>
      <w:r w:rsidR="00BF5D31">
        <w:rPr>
          <w:rFonts w:asciiTheme="minorHAnsi" w:eastAsiaTheme="minorEastAsia" w:hAnsiTheme="minorHAnsi" w:cstheme="minorBidi"/>
          <w:b w:val="0"/>
          <w:caps w:val="0"/>
          <w:color w:val="auto"/>
          <w:spacing w:val="0"/>
          <w:sz w:val="20"/>
          <w:lang w:eastAsia="zh-CN"/>
        </w:rPr>
        <w:t>general</w:t>
      </w:r>
      <w:r w:rsidR="003A16D6" w:rsidRPr="006C487E">
        <w:rPr>
          <w:rFonts w:asciiTheme="minorHAnsi" w:eastAsiaTheme="minorEastAsia" w:hAnsiTheme="minorHAnsi" w:cstheme="minorBidi"/>
          <w:b w:val="0"/>
          <w:caps w:val="0"/>
          <w:color w:val="auto"/>
          <w:spacing w:val="0"/>
          <w:sz w:val="20"/>
          <w:lang w:eastAsia="zh-CN"/>
        </w:rPr>
        <w:t xml:space="preserve"> WWR such as industry/sector or geographic region WWR.</w:t>
      </w:r>
    </w:p>
    <w:p w14:paraId="7BB6BA85" w14:textId="77777777" w:rsidR="00CA3AA6" w:rsidRDefault="00CA3AA6" w:rsidP="00C9701E">
      <w:pPr>
        <w:pStyle w:val="nasdaqsubhead"/>
        <w:ind w:left="0"/>
      </w:pPr>
    </w:p>
    <w:p w14:paraId="6E1F6720" w14:textId="7E6E5899" w:rsidR="009D3F4B" w:rsidRDefault="00C9701E" w:rsidP="00C9701E">
      <w:pPr>
        <w:pStyle w:val="nasdaqsubhead"/>
        <w:ind w:left="0"/>
      </w:pPr>
      <w:r>
        <w:t xml:space="preserve">Purpose </w:t>
      </w:r>
      <w:r w:rsidR="006F5F40">
        <w:t xml:space="preserve">and objective </w:t>
      </w:r>
      <w:r>
        <w:t xml:space="preserve">of </w:t>
      </w:r>
      <w:r w:rsidR="00AA0E5C">
        <w:t>WWR MArgin Add-on</w:t>
      </w:r>
    </w:p>
    <w:p w14:paraId="0368DB52" w14:textId="77777777" w:rsidR="00596FA4" w:rsidRDefault="00596FA4" w:rsidP="002239E8">
      <w:pPr>
        <w:pStyle w:val="nasdaqsubhead"/>
        <w:ind w:left="0"/>
        <w:rPr>
          <w:rFonts w:asciiTheme="minorHAnsi" w:eastAsiaTheme="minorEastAsia" w:hAnsiTheme="minorHAnsi" w:cstheme="minorBidi"/>
          <w:b w:val="0"/>
          <w:caps w:val="0"/>
          <w:color w:val="auto"/>
          <w:spacing w:val="0"/>
          <w:sz w:val="20"/>
          <w:lang w:eastAsia="zh-CN"/>
        </w:rPr>
      </w:pPr>
    </w:p>
    <w:p w14:paraId="7933485C" w14:textId="0FA967DF" w:rsidR="00AA0E5C" w:rsidRDefault="00AA0E5C" w:rsidP="00AA0E5C">
      <w:pPr>
        <w:pStyle w:val="nasdaqsubhead"/>
        <w:ind w:left="0"/>
        <w:rPr>
          <w:rFonts w:asciiTheme="minorHAnsi" w:eastAsiaTheme="minorEastAsia" w:hAnsiTheme="minorHAnsi" w:cstheme="minorBidi"/>
          <w:b w:val="0"/>
          <w:caps w:val="0"/>
          <w:color w:val="auto"/>
          <w:spacing w:val="0"/>
          <w:sz w:val="20"/>
          <w:lang w:eastAsia="zh-CN"/>
        </w:rPr>
      </w:pPr>
      <w:r w:rsidRPr="00AA0E5C">
        <w:rPr>
          <w:rFonts w:asciiTheme="minorHAnsi" w:eastAsiaTheme="minorEastAsia" w:hAnsiTheme="minorHAnsi" w:cstheme="minorBidi"/>
          <w:b w:val="0"/>
          <w:caps w:val="0"/>
          <w:color w:val="auto"/>
          <w:spacing w:val="0"/>
          <w:sz w:val="20"/>
          <w:lang w:eastAsia="zh-CN"/>
        </w:rPr>
        <w:t xml:space="preserve">Nasdaq Clearing’s margin methodologies are not designed to capture additional risk for cleared positions stemming from WWR as there is no factor in the methodologies that evaluates the issuer of a contract (or rather the issuer of the instrument or security that is underlying a contract) vs the holder of cleared positions in that contract. Therefore, a </w:t>
      </w:r>
      <w:r w:rsidR="00080B83">
        <w:rPr>
          <w:rFonts w:asciiTheme="minorHAnsi" w:eastAsiaTheme="minorEastAsia" w:hAnsiTheme="minorHAnsi" w:cstheme="minorBidi"/>
          <w:b w:val="0"/>
          <w:caps w:val="0"/>
          <w:color w:val="auto"/>
          <w:spacing w:val="0"/>
          <w:sz w:val="20"/>
          <w:lang w:eastAsia="zh-CN"/>
        </w:rPr>
        <w:t>WWR M</w:t>
      </w:r>
      <w:r w:rsidRPr="00AA0E5C">
        <w:rPr>
          <w:rFonts w:asciiTheme="minorHAnsi" w:eastAsiaTheme="minorEastAsia" w:hAnsiTheme="minorHAnsi" w:cstheme="minorBidi"/>
          <w:b w:val="0"/>
          <w:caps w:val="0"/>
          <w:color w:val="auto"/>
          <w:spacing w:val="0"/>
          <w:sz w:val="20"/>
          <w:lang w:eastAsia="zh-CN"/>
        </w:rPr>
        <w:t xml:space="preserve">argin </w:t>
      </w:r>
      <w:r w:rsidR="00080B83">
        <w:rPr>
          <w:rFonts w:asciiTheme="minorHAnsi" w:eastAsiaTheme="minorEastAsia" w:hAnsiTheme="minorHAnsi" w:cstheme="minorBidi"/>
          <w:b w:val="0"/>
          <w:caps w:val="0"/>
          <w:color w:val="auto"/>
          <w:spacing w:val="0"/>
          <w:sz w:val="20"/>
          <w:lang w:eastAsia="zh-CN"/>
        </w:rPr>
        <w:t>A</w:t>
      </w:r>
      <w:r w:rsidRPr="00AA0E5C">
        <w:rPr>
          <w:rFonts w:asciiTheme="minorHAnsi" w:eastAsiaTheme="minorEastAsia" w:hAnsiTheme="minorHAnsi" w:cstheme="minorBidi"/>
          <w:b w:val="0"/>
          <w:caps w:val="0"/>
          <w:color w:val="auto"/>
          <w:spacing w:val="0"/>
          <w:sz w:val="20"/>
          <w:lang w:eastAsia="zh-CN"/>
        </w:rPr>
        <w:t>dd-on is added to the initial margin requirement to capture the risk that close-</w:t>
      </w:r>
      <w:proofErr w:type="gramStart"/>
      <w:r w:rsidRPr="00AA0E5C">
        <w:rPr>
          <w:rFonts w:asciiTheme="minorHAnsi" w:eastAsiaTheme="minorEastAsia" w:hAnsiTheme="minorHAnsi" w:cstheme="minorBidi"/>
          <w:b w:val="0"/>
          <w:caps w:val="0"/>
          <w:color w:val="auto"/>
          <w:spacing w:val="0"/>
          <w:sz w:val="20"/>
          <w:lang w:eastAsia="zh-CN"/>
        </w:rPr>
        <w:t>out of</w:t>
      </w:r>
      <w:proofErr w:type="gramEnd"/>
      <w:r w:rsidRPr="00AA0E5C">
        <w:rPr>
          <w:rFonts w:asciiTheme="minorHAnsi" w:eastAsiaTheme="minorEastAsia" w:hAnsiTheme="minorHAnsi" w:cstheme="minorBidi"/>
          <w:b w:val="0"/>
          <w:caps w:val="0"/>
          <w:color w:val="auto"/>
          <w:spacing w:val="0"/>
          <w:sz w:val="20"/>
          <w:lang w:eastAsia="zh-CN"/>
        </w:rPr>
        <w:t xml:space="preserve"> positions subject to WWR will be costlier than calculated by the base methodology, or that positions could not be </w:t>
      </w:r>
      <w:proofErr w:type="gramStart"/>
      <w:r w:rsidRPr="00AA0E5C">
        <w:rPr>
          <w:rFonts w:asciiTheme="minorHAnsi" w:eastAsiaTheme="minorEastAsia" w:hAnsiTheme="minorHAnsi" w:cstheme="minorBidi"/>
          <w:b w:val="0"/>
          <w:caps w:val="0"/>
          <w:color w:val="auto"/>
          <w:spacing w:val="0"/>
          <w:sz w:val="20"/>
          <w:lang w:eastAsia="zh-CN"/>
        </w:rPr>
        <w:t>closed-out</w:t>
      </w:r>
      <w:proofErr w:type="gramEnd"/>
      <w:r w:rsidRPr="00AA0E5C">
        <w:rPr>
          <w:rFonts w:asciiTheme="minorHAnsi" w:eastAsiaTheme="minorEastAsia" w:hAnsiTheme="minorHAnsi" w:cstheme="minorBidi"/>
          <w:b w:val="0"/>
          <w:caps w:val="0"/>
          <w:color w:val="auto"/>
          <w:spacing w:val="0"/>
          <w:sz w:val="20"/>
          <w:lang w:eastAsia="zh-CN"/>
        </w:rPr>
        <w:t xml:space="preserve"> at all </w:t>
      </w:r>
      <w:proofErr w:type="gramStart"/>
      <w:r w:rsidRPr="00AA0E5C">
        <w:rPr>
          <w:rFonts w:asciiTheme="minorHAnsi" w:eastAsiaTheme="minorEastAsia" w:hAnsiTheme="minorHAnsi" w:cstheme="minorBidi"/>
          <w:b w:val="0"/>
          <w:caps w:val="0"/>
          <w:color w:val="auto"/>
          <w:spacing w:val="0"/>
          <w:sz w:val="20"/>
          <w:lang w:eastAsia="zh-CN"/>
        </w:rPr>
        <w:t>d</w:t>
      </w:r>
      <w:r w:rsidR="006C487E">
        <w:rPr>
          <w:rFonts w:asciiTheme="minorHAnsi" w:eastAsiaTheme="minorEastAsia" w:hAnsiTheme="minorHAnsi" w:cstheme="minorBidi"/>
          <w:b w:val="0"/>
          <w:caps w:val="0"/>
          <w:color w:val="auto"/>
          <w:spacing w:val="0"/>
          <w:sz w:val="20"/>
          <w:lang w:eastAsia="zh-CN"/>
        </w:rPr>
        <w:t>u</w:t>
      </w:r>
      <w:r w:rsidRPr="00AA0E5C">
        <w:rPr>
          <w:rFonts w:asciiTheme="minorHAnsi" w:eastAsiaTheme="minorEastAsia" w:hAnsiTheme="minorHAnsi" w:cstheme="minorBidi"/>
          <w:b w:val="0"/>
          <w:caps w:val="0"/>
          <w:color w:val="auto"/>
          <w:spacing w:val="0"/>
          <w:sz w:val="20"/>
          <w:lang w:eastAsia="zh-CN"/>
        </w:rPr>
        <w:t>e</w:t>
      </w:r>
      <w:proofErr w:type="gramEnd"/>
      <w:r w:rsidRPr="00AA0E5C">
        <w:rPr>
          <w:rFonts w:asciiTheme="minorHAnsi" w:eastAsiaTheme="minorEastAsia" w:hAnsiTheme="minorHAnsi" w:cstheme="minorBidi"/>
          <w:b w:val="0"/>
          <w:caps w:val="0"/>
          <w:color w:val="auto"/>
          <w:spacing w:val="0"/>
          <w:sz w:val="20"/>
          <w:lang w:eastAsia="zh-CN"/>
        </w:rPr>
        <w:t xml:space="preserve"> to WWR.</w:t>
      </w:r>
    </w:p>
    <w:p w14:paraId="1ADDFEBF" w14:textId="77777777" w:rsidR="00AA0E5C" w:rsidRPr="00AA0E5C" w:rsidRDefault="00AA0E5C" w:rsidP="00AA0E5C">
      <w:pPr>
        <w:pStyle w:val="nasdaqsubhead"/>
        <w:ind w:left="0"/>
        <w:rPr>
          <w:rFonts w:asciiTheme="minorHAnsi" w:eastAsiaTheme="minorEastAsia" w:hAnsiTheme="minorHAnsi" w:cstheme="minorBidi"/>
          <w:b w:val="0"/>
          <w:caps w:val="0"/>
          <w:color w:val="auto"/>
          <w:spacing w:val="0"/>
          <w:sz w:val="20"/>
          <w:lang w:eastAsia="zh-CN"/>
        </w:rPr>
      </w:pPr>
    </w:p>
    <w:p w14:paraId="3F6BFCF0" w14:textId="651D7465" w:rsidR="00AA0E5C" w:rsidRDefault="00AA0E5C" w:rsidP="00AA0E5C">
      <w:pPr>
        <w:pStyle w:val="nasdaqsubhead"/>
        <w:ind w:left="0"/>
        <w:rPr>
          <w:rFonts w:asciiTheme="minorHAnsi" w:eastAsiaTheme="minorEastAsia" w:hAnsiTheme="minorHAnsi" w:cstheme="minorBidi"/>
          <w:b w:val="0"/>
          <w:caps w:val="0"/>
          <w:color w:val="auto"/>
          <w:spacing w:val="0"/>
          <w:sz w:val="20"/>
          <w:lang w:eastAsia="zh-CN"/>
        </w:rPr>
      </w:pPr>
      <w:r w:rsidRPr="00AA0E5C">
        <w:rPr>
          <w:rFonts w:asciiTheme="minorHAnsi" w:eastAsiaTheme="minorEastAsia" w:hAnsiTheme="minorHAnsi" w:cstheme="minorBidi"/>
          <w:b w:val="0"/>
          <w:caps w:val="0"/>
          <w:color w:val="auto"/>
          <w:spacing w:val="0"/>
          <w:sz w:val="20"/>
          <w:lang w:eastAsia="zh-CN"/>
        </w:rPr>
        <w:t xml:space="preserve">The </w:t>
      </w:r>
      <w:r w:rsidR="00080B83">
        <w:rPr>
          <w:rFonts w:asciiTheme="minorHAnsi" w:eastAsiaTheme="minorEastAsia" w:hAnsiTheme="minorHAnsi" w:cstheme="minorBidi"/>
          <w:b w:val="0"/>
          <w:caps w:val="0"/>
          <w:color w:val="auto"/>
          <w:spacing w:val="0"/>
          <w:sz w:val="20"/>
          <w:lang w:eastAsia="zh-CN"/>
        </w:rPr>
        <w:t>WWR M</w:t>
      </w:r>
      <w:r w:rsidRPr="00AA0E5C">
        <w:rPr>
          <w:rFonts w:asciiTheme="minorHAnsi" w:eastAsiaTheme="minorEastAsia" w:hAnsiTheme="minorHAnsi" w:cstheme="minorBidi"/>
          <w:b w:val="0"/>
          <w:caps w:val="0"/>
          <w:color w:val="auto"/>
          <w:spacing w:val="0"/>
          <w:sz w:val="20"/>
          <w:lang w:eastAsia="zh-CN"/>
        </w:rPr>
        <w:t xml:space="preserve">argin </w:t>
      </w:r>
      <w:r w:rsidR="00080B83">
        <w:rPr>
          <w:rFonts w:asciiTheme="minorHAnsi" w:eastAsiaTheme="minorEastAsia" w:hAnsiTheme="minorHAnsi" w:cstheme="minorBidi"/>
          <w:b w:val="0"/>
          <w:caps w:val="0"/>
          <w:color w:val="auto"/>
          <w:spacing w:val="0"/>
          <w:sz w:val="20"/>
          <w:lang w:eastAsia="zh-CN"/>
        </w:rPr>
        <w:t>A</w:t>
      </w:r>
      <w:r w:rsidRPr="00AA0E5C">
        <w:rPr>
          <w:rFonts w:asciiTheme="minorHAnsi" w:eastAsiaTheme="minorEastAsia" w:hAnsiTheme="minorHAnsi" w:cstheme="minorBidi"/>
          <w:b w:val="0"/>
          <w:caps w:val="0"/>
          <w:color w:val="auto"/>
          <w:spacing w:val="0"/>
          <w:sz w:val="20"/>
          <w:lang w:eastAsia="zh-CN"/>
        </w:rPr>
        <w:t xml:space="preserve">dd-on outlined in this </w:t>
      </w:r>
      <w:r w:rsidR="006C487E">
        <w:rPr>
          <w:rFonts w:asciiTheme="minorHAnsi" w:eastAsiaTheme="minorEastAsia" w:hAnsiTheme="minorHAnsi" w:cstheme="minorBidi"/>
          <w:b w:val="0"/>
          <w:caps w:val="0"/>
          <w:color w:val="auto"/>
          <w:spacing w:val="0"/>
          <w:sz w:val="20"/>
          <w:lang w:eastAsia="zh-CN"/>
        </w:rPr>
        <w:t>guideline</w:t>
      </w:r>
      <w:r w:rsidRPr="00AA0E5C">
        <w:rPr>
          <w:rFonts w:asciiTheme="minorHAnsi" w:eastAsiaTheme="minorEastAsia" w:hAnsiTheme="minorHAnsi" w:cstheme="minorBidi"/>
          <w:b w:val="0"/>
          <w:caps w:val="0"/>
          <w:color w:val="auto"/>
          <w:spacing w:val="0"/>
          <w:sz w:val="20"/>
          <w:lang w:eastAsia="zh-CN"/>
        </w:rPr>
        <w:t xml:space="preserve"> is designed to disincentivize positions subject to WWR and to capture the additional default or close-out costs due to WWR in individual Clearing Members’ portfolios. The WWR </w:t>
      </w:r>
      <w:r w:rsidR="00080B83">
        <w:rPr>
          <w:rFonts w:asciiTheme="minorHAnsi" w:eastAsiaTheme="minorEastAsia" w:hAnsiTheme="minorHAnsi" w:cstheme="minorBidi"/>
          <w:b w:val="0"/>
          <w:caps w:val="0"/>
          <w:color w:val="auto"/>
          <w:spacing w:val="0"/>
          <w:sz w:val="20"/>
          <w:lang w:eastAsia="zh-CN"/>
        </w:rPr>
        <w:t>M</w:t>
      </w:r>
      <w:r w:rsidRPr="00AA0E5C">
        <w:rPr>
          <w:rFonts w:asciiTheme="minorHAnsi" w:eastAsiaTheme="minorEastAsia" w:hAnsiTheme="minorHAnsi" w:cstheme="minorBidi"/>
          <w:b w:val="0"/>
          <w:caps w:val="0"/>
          <w:color w:val="auto"/>
          <w:spacing w:val="0"/>
          <w:sz w:val="20"/>
          <w:lang w:eastAsia="zh-CN"/>
        </w:rPr>
        <w:t xml:space="preserve">argin </w:t>
      </w:r>
      <w:r w:rsidR="00080B83">
        <w:rPr>
          <w:rFonts w:asciiTheme="minorHAnsi" w:eastAsiaTheme="minorEastAsia" w:hAnsiTheme="minorHAnsi" w:cstheme="minorBidi"/>
          <w:b w:val="0"/>
          <w:caps w:val="0"/>
          <w:color w:val="auto"/>
          <w:spacing w:val="0"/>
          <w:sz w:val="20"/>
          <w:lang w:eastAsia="zh-CN"/>
        </w:rPr>
        <w:t>A</w:t>
      </w:r>
      <w:r w:rsidRPr="00AA0E5C">
        <w:rPr>
          <w:rFonts w:asciiTheme="minorHAnsi" w:eastAsiaTheme="minorEastAsia" w:hAnsiTheme="minorHAnsi" w:cstheme="minorBidi"/>
          <w:b w:val="0"/>
          <w:caps w:val="0"/>
          <w:color w:val="auto"/>
          <w:spacing w:val="0"/>
          <w:sz w:val="20"/>
          <w:lang w:eastAsia="zh-CN"/>
        </w:rPr>
        <w:t xml:space="preserve">dd-on applied will differ in between asset classes, but in general it applies to </w:t>
      </w:r>
      <w:proofErr w:type="gramStart"/>
      <w:r w:rsidRPr="00AA0E5C">
        <w:rPr>
          <w:rFonts w:asciiTheme="minorHAnsi" w:eastAsiaTheme="minorEastAsia" w:hAnsiTheme="minorHAnsi" w:cstheme="minorBidi"/>
          <w:b w:val="0"/>
          <w:caps w:val="0"/>
          <w:color w:val="auto"/>
          <w:spacing w:val="0"/>
          <w:sz w:val="20"/>
          <w:lang w:eastAsia="zh-CN"/>
        </w:rPr>
        <w:t>net long</w:t>
      </w:r>
      <w:proofErr w:type="gramEnd"/>
      <w:r w:rsidRPr="00AA0E5C">
        <w:rPr>
          <w:rFonts w:asciiTheme="minorHAnsi" w:eastAsiaTheme="minorEastAsia" w:hAnsiTheme="minorHAnsi" w:cstheme="minorBidi"/>
          <w:b w:val="0"/>
          <w:caps w:val="0"/>
          <w:color w:val="auto"/>
          <w:spacing w:val="0"/>
          <w:sz w:val="20"/>
          <w:lang w:eastAsia="zh-CN"/>
        </w:rPr>
        <w:t xml:space="preserve"> positions in own issue instruments for both House and Client positions. </w:t>
      </w:r>
    </w:p>
    <w:p w14:paraId="62A96CB0" w14:textId="77777777" w:rsidR="006C487E" w:rsidRPr="00AA0E5C" w:rsidRDefault="006C487E" w:rsidP="00AA0E5C">
      <w:pPr>
        <w:pStyle w:val="nasdaqsubhead"/>
        <w:ind w:left="0"/>
        <w:rPr>
          <w:rFonts w:asciiTheme="minorHAnsi" w:eastAsiaTheme="minorEastAsia" w:hAnsiTheme="minorHAnsi" w:cstheme="minorBidi"/>
          <w:b w:val="0"/>
          <w:caps w:val="0"/>
          <w:color w:val="auto"/>
          <w:spacing w:val="0"/>
          <w:sz w:val="20"/>
          <w:lang w:eastAsia="zh-CN"/>
        </w:rPr>
      </w:pPr>
    </w:p>
    <w:p w14:paraId="67D9558F" w14:textId="1280AD44" w:rsidR="006C487E" w:rsidRDefault="00AA0E5C" w:rsidP="00AA0E5C">
      <w:pPr>
        <w:pStyle w:val="nasdaqsubhead"/>
        <w:ind w:left="0"/>
        <w:rPr>
          <w:rFonts w:asciiTheme="minorHAnsi" w:eastAsiaTheme="minorEastAsia" w:hAnsiTheme="minorHAnsi" w:cstheme="minorBidi"/>
          <w:b w:val="0"/>
          <w:caps w:val="0"/>
          <w:color w:val="auto"/>
          <w:spacing w:val="0"/>
          <w:sz w:val="20"/>
          <w:lang w:eastAsia="zh-CN"/>
        </w:rPr>
      </w:pPr>
      <w:r w:rsidRPr="00AA0E5C">
        <w:rPr>
          <w:rFonts w:asciiTheme="minorHAnsi" w:eastAsiaTheme="minorEastAsia" w:hAnsiTheme="minorHAnsi" w:cstheme="minorBidi"/>
          <w:b w:val="0"/>
          <w:caps w:val="0"/>
          <w:color w:val="auto"/>
          <w:spacing w:val="0"/>
          <w:sz w:val="20"/>
          <w:lang w:eastAsia="zh-CN"/>
        </w:rPr>
        <w:t xml:space="preserve">For Equity derivatives will WWR </w:t>
      </w:r>
      <w:r w:rsidR="00080B83">
        <w:rPr>
          <w:rFonts w:asciiTheme="minorHAnsi" w:eastAsiaTheme="minorEastAsia" w:hAnsiTheme="minorHAnsi" w:cstheme="minorBidi"/>
          <w:b w:val="0"/>
          <w:caps w:val="0"/>
          <w:color w:val="auto"/>
          <w:spacing w:val="0"/>
          <w:sz w:val="20"/>
          <w:lang w:eastAsia="zh-CN"/>
        </w:rPr>
        <w:t>M</w:t>
      </w:r>
      <w:r w:rsidRPr="00AA0E5C">
        <w:rPr>
          <w:rFonts w:asciiTheme="minorHAnsi" w:eastAsiaTheme="minorEastAsia" w:hAnsiTheme="minorHAnsi" w:cstheme="minorBidi"/>
          <w:b w:val="0"/>
          <w:caps w:val="0"/>
          <w:color w:val="auto"/>
          <w:spacing w:val="0"/>
          <w:sz w:val="20"/>
          <w:lang w:eastAsia="zh-CN"/>
        </w:rPr>
        <w:t xml:space="preserve">argin </w:t>
      </w:r>
      <w:r w:rsidR="00080B83">
        <w:rPr>
          <w:rFonts w:asciiTheme="minorHAnsi" w:eastAsiaTheme="minorEastAsia" w:hAnsiTheme="minorHAnsi" w:cstheme="minorBidi"/>
          <w:b w:val="0"/>
          <w:caps w:val="0"/>
          <w:color w:val="auto"/>
          <w:spacing w:val="0"/>
          <w:sz w:val="20"/>
          <w:lang w:eastAsia="zh-CN"/>
        </w:rPr>
        <w:t>A</w:t>
      </w:r>
      <w:r w:rsidRPr="00AA0E5C">
        <w:rPr>
          <w:rFonts w:asciiTheme="minorHAnsi" w:eastAsiaTheme="minorEastAsia" w:hAnsiTheme="minorHAnsi" w:cstheme="minorBidi"/>
          <w:b w:val="0"/>
          <w:caps w:val="0"/>
          <w:color w:val="auto"/>
          <w:spacing w:val="0"/>
          <w:sz w:val="20"/>
          <w:lang w:eastAsia="zh-CN"/>
        </w:rPr>
        <w:t xml:space="preserve">dd-on </w:t>
      </w:r>
      <w:proofErr w:type="gramStart"/>
      <w:r w:rsidRPr="00AA0E5C">
        <w:rPr>
          <w:rFonts w:asciiTheme="minorHAnsi" w:eastAsiaTheme="minorEastAsia" w:hAnsiTheme="minorHAnsi" w:cstheme="minorBidi"/>
          <w:b w:val="0"/>
          <w:caps w:val="0"/>
          <w:color w:val="auto"/>
          <w:spacing w:val="0"/>
          <w:sz w:val="20"/>
          <w:lang w:eastAsia="zh-CN"/>
        </w:rPr>
        <w:t>be based on the assumption</w:t>
      </w:r>
      <w:proofErr w:type="gramEnd"/>
      <w:r w:rsidRPr="00AA0E5C">
        <w:rPr>
          <w:rFonts w:asciiTheme="minorHAnsi" w:eastAsiaTheme="minorEastAsia" w:hAnsiTheme="minorHAnsi" w:cstheme="minorBidi"/>
          <w:b w:val="0"/>
          <w:caps w:val="0"/>
          <w:color w:val="auto"/>
          <w:spacing w:val="0"/>
          <w:sz w:val="20"/>
          <w:lang w:eastAsia="zh-CN"/>
        </w:rPr>
        <w:t xml:space="preserve"> that the price of own issue stocks becomes 0. Own issue stock includes any listed stock issued by the clearing member or an entity within the same legal group as the clearing member. The WWR </w:t>
      </w:r>
      <w:r w:rsidR="00080B83">
        <w:rPr>
          <w:rFonts w:asciiTheme="minorHAnsi" w:eastAsiaTheme="minorEastAsia" w:hAnsiTheme="minorHAnsi" w:cstheme="minorBidi"/>
          <w:b w:val="0"/>
          <w:caps w:val="0"/>
          <w:color w:val="auto"/>
          <w:spacing w:val="0"/>
          <w:sz w:val="20"/>
          <w:lang w:eastAsia="zh-CN"/>
        </w:rPr>
        <w:t>M</w:t>
      </w:r>
      <w:r w:rsidRPr="00AA0E5C">
        <w:rPr>
          <w:rFonts w:asciiTheme="minorHAnsi" w:eastAsiaTheme="minorEastAsia" w:hAnsiTheme="minorHAnsi" w:cstheme="minorBidi"/>
          <w:b w:val="0"/>
          <w:caps w:val="0"/>
          <w:color w:val="auto"/>
          <w:spacing w:val="0"/>
          <w:sz w:val="20"/>
          <w:lang w:eastAsia="zh-CN"/>
        </w:rPr>
        <w:t xml:space="preserve">argin </w:t>
      </w:r>
      <w:r w:rsidR="00080B83">
        <w:rPr>
          <w:rFonts w:asciiTheme="minorHAnsi" w:eastAsiaTheme="minorEastAsia" w:hAnsiTheme="minorHAnsi" w:cstheme="minorBidi"/>
          <w:b w:val="0"/>
          <w:caps w:val="0"/>
          <w:color w:val="auto"/>
          <w:spacing w:val="0"/>
          <w:sz w:val="20"/>
          <w:lang w:eastAsia="zh-CN"/>
        </w:rPr>
        <w:t>A</w:t>
      </w:r>
      <w:r w:rsidRPr="00AA0E5C">
        <w:rPr>
          <w:rFonts w:asciiTheme="minorHAnsi" w:eastAsiaTheme="minorEastAsia" w:hAnsiTheme="minorHAnsi" w:cstheme="minorBidi"/>
          <w:b w:val="0"/>
          <w:caps w:val="0"/>
          <w:color w:val="auto"/>
          <w:spacing w:val="0"/>
          <w:sz w:val="20"/>
          <w:lang w:eastAsia="zh-CN"/>
        </w:rPr>
        <w:t>dd-on applies to all equity derivatives except index products.</w:t>
      </w:r>
    </w:p>
    <w:p w14:paraId="00D6D561" w14:textId="77777777" w:rsidR="002239E8" w:rsidRDefault="002239E8" w:rsidP="002239E8">
      <w:pPr>
        <w:pStyle w:val="nasdaqsubhead"/>
        <w:ind w:left="0"/>
        <w:rPr>
          <w:rFonts w:asciiTheme="minorHAnsi" w:eastAsiaTheme="minorEastAsia" w:hAnsiTheme="minorHAnsi" w:cstheme="minorBidi"/>
          <w:b w:val="0"/>
          <w:caps w:val="0"/>
          <w:color w:val="auto"/>
          <w:spacing w:val="0"/>
          <w:sz w:val="20"/>
          <w:lang w:eastAsia="zh-CN"/>
        </w:rPr>
      </w:pPr>
    </w:p>
    <w:p w14:paraId="4CC4A834" w14:textId="643235DF" w:rsidR="002239E8" w:rsidRDefault="006C487E" w:rsidP="002239E8">
      <w:pPr>
        <w:pStyle w:val="nasdaqsubhead"/>
        <w:ind w:left="0"/>
      </w:pPr>
      <w:r>
        <w:t>WWR Margin Add-on</w:t>
      </w:r>
      <w:r w:rsidR="007F2195">
        <w:t xml:space="preserve"> methodology </w:t>
      </w:r>
    </w:p>
    <w:p w14:paraId="1D0E53FD" w14:textId="77777777" w:rsidR="006B70D8" w:rsidRDefault="006B70D8" w:rsidP="002239E8">
      <w:pPr>
        <w:pStyle w:val="nasdaqsubhead"/>
        <w:ind w:left="0"/>
      </w:pPr>
    </w:p>
    <w:p w14:paraId="4FB727A5" w14:textId="6E586122" w:rsidR="006C487E" w:rsidRPr="006C487E" w:rsidRDefault="006C487E" w:rsidP="006C487E">
      <w:pPr>
        <w:pStyle w:val="nasdaqsubhead"/>
        <w:ind w:left="0"/>
        <w:rPr>
          <w:rFonts w:asciiTheme="minorHAnsi" w:eastAsiaTheme="minorEastAsia" w:hAnsiTheme="minorHAnsi" w:cstheme="minorHAnsi"/>
          <w:b w:val="0"/>
          <w:caps w:val="0"/>
          <w:color w:val="auto"/>
          <w:spacing w:val="0"/>
          <w:sz w:val="20"/>
          <w:lang w:eastAsia="zh-CN"/>
        </w:rPr>
      </w:pPr>
      <w:r>
        <w:rPr>
          <w:rFonts w:asciiTheme="minorHAnsi" w:eastAsiaTheme="minorEastAsia" w:hAnsiTheme="minorHAnsi" w:cstheme="minorBidi"/>
          <w:b w:val="0"/>
          <w:caps w:val="0"/>
          <w:color w:val="auto"/>
          <w:spacing w:val="0"/>
          <w:sz w:val="20"/>
          <w:lang w:eastAsia="zh-CN"/>
        </w:rPr>
        <w:t>For equity derivatives t</w:t>
      </w:r>
      <w:r w:rsidR="00080B83">
        <w:rPr>
          <w:rFonts w:asciiTheme="minorHAnsi" w:eastAsiaTheme="minorEastAsia" w:hAnsiTheme="minorHAnsi" w:cstheme="minorBidi"/>
          <w:b w:val="0"/>
          <w:caps w:val="0"/>
          <w:color w:val="auto"/>
          <w:spacing w:val="0"/>
          <w:sz w:val="20"/>
          <w:lang w:eastAsia="zh-CN"/>
        </w:rPr>
        <w:t>he WWR M</w:t>
      </w:r>
      <w:r w:rsidRPr="006C487E">
        <w:rPr>
          <w:rFonts w:asciiTheme="minorHAnsi" w:eastAsiaTheme="minorEastAsia" w:hAnsiTheme="minorHAnsi" w:cstheme="minorBidi"/>
          <w:b w:val="0"/>
          <w:caps w:val="0"/>
          <w:color w:val="auto"/>
          <w:spacing w:val="0"/>
          <w:sz w:val="20"/>
          <w:lang w:eastAsia="zh-CN"/>
        </w:rPr>
        <w:t xml:space="preserve">argin </w:t>
      </w:r>
      <w:r w:rsidR="00080B83">
        <w:rPr>
          <w:rFonts w:asciiTheme="minorHAnsi" w:eastAsiaTheme="minorEastAsia" w:hAnsiTheme="minorHAnsi" w:cstheme="minorBidi"/>
          <w:b w:val="0"/>
          <w:caps w:val="0"/>
          <w:color w:val="auto"/>
          <w:spacing w:val="0"/>
          <w:sz w:val="20"/>
          <w:lang w:eastAsia="zh-CN"/>
        </w:rPr>
        <w:t>A</w:t>
      </w:r>
      <w:r w:rsidRPr="006C487E">
        <w:rPr>
          <w:rFonts w:asciiTheme="minorHAnsi" w:eastAsiaTheme="minorEastAsia" w:hAnsiTheme="minorHAnsi" w:cstheme="minorBidi"/>
          <w:b w:val="0"/>
          <w:caps w:val="0"/>
          <w:color w:val="auto"/>
          <w:spacing w:val="0"/>
          <w:sz w:val="20"/>
          <w:lang w:eastAsia="zh-CN"/>
        </w:rPr>
        <w:t xml:space="preserve">dd-on is determined per Margin Calculation Account (MCA) in the following three main steps, with the considerations for each step outlined below: </w:t>
      </w:r>
    </w:p>
    <w:p w14:paraId="4078D0B0" w14:textId="77777777" w:rsidR="006C487E" w:rsidRPr="006C487E" w:rsidRDefault="006C487E" w:rsidP="006C487E">
      <w:pPr>
        <w:pStyle w:val="MainText"/>
        <w:numPr>
          <w:ilvl w:val="0"/>
          <w:numId w:val="8"/>
        </w:numPr>
        <w:rPr>
          <w:rFonts w:asciiTheme="minorHAnsi" w:hAnsiTheme="minorHAnsi" w:cstheme="minorHAnsi"/>
        </w:rPr>
      </w:pPr>
      <w:r w:rsidRPr="006C487E">
        <w:rPr>
          <w:rFonts w:asciiTheme="minorHAnsi" w:hAnsiTheme="minorHAnsi" w:cstheme="minorHAnsi"/>
        </w:rPr>
        <w:t>Check if the position is applicable for WWR.</w:t>
      </w:r>
    </w:p>
    <w:p w14:paraId="75EAD16B" w14:textId="621A970D" w:rsidR="006C487E" w:rsidRPr="006C487E" w:rsidRDefault="006C487E" w:rsidP="006C487E">
      <w:pPr>
        <w:pStyle w:val="MainText"/>
        <w:numPr>
          <w:ilvl w:val="1"/>
          <w:numId w:val="8"/>
        </w:numPr>
        <w:rPr>
          <w:rFonts w:asciiTheme="minorHAnsi" w:hAnsiTheme="minorHAnsi" w:cstheme="minorHAnsi"/>
        </w:rPr>
      </w:pPr>
      <w:r w:rsidRPr="006C487E">
        <w:rPr>
          <w:rFonts w:asciiTheme="minorHAnsi" w:hAnsiTheme="minorHAnsi" w:cstheme="minorHAnsi"/>
        </w:rPr>
        <w:t xml:space="preserve">If </w:t>
      </w:r>
      <w:proofErr w:type="gramStart"/>
      <w:r w:rsidRPr="006C487E">
        <w:rPr>
          <w:rFonts w:asciiTheme="minorHAnsi" w:hAnsiTheme="minorHAnsi" w:cstheme="minorHAnsi"/>
        </w:rPr>
        <w:t>yes</w:t>
      </w:r>
      <w:proofErr w:type="gramEnd"/>
      <w:r w:rsidRPr="006C487E">
        <w:rPr>
          <w:rFonts w:asciiTheme="minorHAnsi" w:hAnsiTheme="minorHAnsi" w:cstheme="minorHAnsi"/>
        </w:rPr>
        <w:t xml:space="preserve"> then re-value the position at the WWR </w:t>
      </w:r>
      <w:r w:rsidR="00080B83">
        <w:rPr>
          <w:rFonts w:asciiTheme="minorHAnsi" w:hAnsiTheme="minorHAnsi" w:cstheme="minorHAnsi"/>
        </w:rPr>
        <w:t>P</w:t>
      </w:r>
      <w:r w:rsidRPr="006C487E">
        <w:rPr>
          <w:rFonts w:asciiTheme="minorHAnsi" w:hAnsiTheme="minorHAnsi" w:cstheme="minorHAnsi"/>
        </w:rPr>
        <w:t xml:space="preserve">rice </w:t>
      </w:r>
      <w:r w:rsidR="00080B83">
        <w:rPr>
          <w:rFonts w:asciiTheme="minorHAnsi" w:hAnsiTheme="minorHAnsi" w:cstheme="minorHAnsi"/>
        </w:rPr>
        <w:t>S</w:t>
      </w:r>
      <w:r w:rsidRPr="006C487E">
        <w:rPr>
          <w:rFonts w:asciiTheme="minorHAnsi" w:hAnsiTheme="minorHAnsi" w:cstheme="minorHAnsi"/>
        </w:rPr>
        <w:t>cenario.</w:t>
      </w:r>
    </w:p>
    <w:p w14:paraId="4C70DBC6" w14:textId="13B4CAFE" w:rsidR="006C487E" w:rsidRPr="006C487E" w:rsidRDefault="006C487E" w:rsidP="006C487E">
      <w:pPr>
        <w:pStyle w:val="MainText"/>
        <w:numPr>
          <w:ilvl w:val="2"/>
          <w:numId w:val="8"/>
        </w:numPr>
        <w:rPr>
          <w:rFonts w:asciiTheme="minorHAnsi" w:hAnsiTheme="minorHAnsi" w:cstheme="minorHAnsi"/>
        </w:rPr>
      </w:pPr>
      <w:r w:rsidRPr="006C487E">
        <w:rPr>
          <w:rFonts w:asciiTheme="minorHAnsi" w:hAnsiTheme="minorHAnsi" w:cstheme="minorHAnsi"/>
        </w:rPr>
        <w:t xml:space="preserve">If the margin at the WWR </w:t>
      </w:r>
      <w:r w:rsidR="00080B83">
        <w:rPr>
          <w:rFonts w:asciiTheme="minorHAnsi" w:hAnsiTheme="minorHAnsi" w:cstheme="minorHAnsi"/>
        </w:rPr>
        <w:t>P</w:t>
      </w:r>
      <w:r w:rsidRPr="006C487E">
        <w:rPr>
          <w:rFonts w:asciiTheme="minorHAnsi" w:hAnsiTheme="minorHAnsi" w:cstheme="minorHAnsi"/>
        </w:rPr>
        <w:t xml:space="preserve">rice </w:t>
      </w:r>
      <w:r w:rsidR="00080B83">
        <w:rPr>
          <w:rFonts w:asciiTheme="minorHAnsi" w:hAnsiTheme="minorHAnsi" w:cstheme="minorHAnsi"/>
        </w:rPr>
        <w:t>S</w:t>
      </w:r>
      <w:r w:rsidRPr="006C487E">
        <w:rPr>
          <w:rFonts w:asciiTheme="minorHAnsi" w:hAnsiTheme="minorHAnsi" w:cstheme="minorHAnsi"/>
        </w:rPr>
        <w:t xml:space="preserve">cenario is </w:t>
      </w:r>
      <w:r w:rsidR="00080B83">
        <w:rPr>
          <w:rFonts w:asciiTheme="minorHAnsi" w:hAnsiTheme="minorHAnsi" w:cstheme="minorHAnsi"/>
        </w:rPr>
        <w:t>higher (more negative)</w:t>
      </w:r>
      <w:r w:rsidRPr="006C487E">
        <w:rPr>
          <w:rFonts w:asciiTheme="minorHAnsi" w:hAnsiTheme="minorHAnsi" w:cstheme="minorHAnsi"/>
        </w:rPr>
        <w:t xml:space="preserve"> than the margin as calculated by the base </w:t>
      </w:r>
      <w:proofErr w:type="gramStart"/>
      <w:r w:rsidRPr="006C487E">
        <w:rPr>
          <w:rFonts w:asciiTheme="minorHAnsi" w:hAnsiTheme="minorHAnsi" w:cstheme="minorHAnsi"/>
        </w:rPr>
        <w:t>methodology</w:t>
      </w:r>
      <w:proofErr w:type="gramEnd"/>
      <w:r w:rsidRPr="006C487E">
        <w:rPr>
          <w:rFonts w:asciiTheme="minorHAnsi" w:hAnsiTheme="minorHAnsi" w:cstheme="minorHAnsi"/>
        </w:rPr>
        <w:t xml:space="preserve"> then this is the new margin and the WWR</w:t>
      </w:r>
      <w:r w:rsidR="00080B83">
        <w:rPr>
          <w:rFonts w:asciiTheme="minorHAnsi" w:hAnsiTheme="minorHAnsi" w:cstheme="minorHAnsi"/>
        </w:rPr>
        <w:t xml:space="preserve"> M</w:t>
      </w:r>
      <w:r w:rsidRPr="006C487E">
        <w:rPr>
          <w:rFonts w:asciiTheme="minorHAnsi" w:hAnsiTheme="minorHAnsi" w:cstheme="minorHAnsi"/>
        </w:rPr>
        <w:t xml:space="preserve">argin </w:t>
      </w:r>
      <w:r w:rsidR="00080B83">
        <w:rPr>
          <w:rFonts w:asciiTheme="minorHAnsi" w:hAnsiTheme="minorHAnsi" w:cstheme="minorHAnsi"/>
        </w:rPr>
        <w:t>A</w:t>
      </w:r>
      <w:r w:rsidRPr="006C487E">
        <w:rPr>
          <w:rFonts w:asciiTheme="minorHAnsi" w:hAnsiTheme="minorHAnsi" w:cstheme="minorHAnsi"/>
        </w:rPr>
        <w:t xml:space="preserve">dd-on is the difference. The WWR </w:t>
      </w:r>
      <w:r w:rsidR="00080B83">
        <w:rPr>
          <w:rFonts w:asciiTheme="minorHAnsi" w:hAnsiTheme="minorHAnsi" w:cstheme="minorHAnsi"/>
        </w:rPr>
        <w:t>M</w:t>
      </w:r>
      <w:r w:rsidRPr="006C487E">
        <w:rPr>
          <w:rFonts w:asciiTheme="minorHAnsi" w:hAnsiTheme="minorHAnsi" w:cstheme="minorHAnsi"/>
        </w:rPr>
        <w:t xml:space="preserve">argin </w:t>
      </w:r>
      <w:r w:rsidR="00080B83">
        <w:rPr>
          <w:rFonts w:asciiTheme="minorHAnsi" w:hAnsiTheme="minorHAnsi" w:cstheme="minorHAnsi"/>
        </w:rPr>
        <w:t>A</w:t>
      </w:r>
      <w:r w:rsidRPr="006C487E">
        <w:rPr>
          <w:rFonts w:asciiTheme="minorHAnsi" w:hAnsiTheme="minorHAnsi" w:cstheme="minorHAnsi"/>
        </w:rPr>
        <w:t>dd-on is distributed pro-rata back to the contract level positions based on t</w:t>
      </w:r>
      <w:r w:rsidR="0024674E">
        <w:rPr>
          <w:rFonts w:asciiTheme="minorHAnsi" w:hAnsiTheme="minorHAnsi" w:cstheme="minorHAnsi"/>
        </w:rPr>
        <w:t>he risk margin (IM) in the WWR P</w:t>
      </w:r>
      <w:r w:rsidRPr="006C487E">
        <w:rPr>
          <w:rFonts w:asciiTheme="minorHAnsi" w:hAnsiTheme="minorHAnsi" w:cstheme="minorHAnsi"/>
        </w:rPr>
        <w:t xml:space="preserve">rice </w:t>
      </w:r>
      <w:proofErr w:type="spellStart"/>
      <w:r w:rsidR="0024674E">
        <w:rPr>
          <w:rFonts w:asciiTheme="minorHAnsi" w:hAnsiTheme="minorHAnsi" w:cstheme="minorHAnsi"/>
        </w:rPr>
        <w:t>C</w:t>
      </w:r>
      <w:r w:rsidRPr="006C487E">
        <w:rPr>
          <w:rFonts w:asciiTheme="minorHAnsi" w:hAnsiTheme="minorHAnsi" w:cstheme="minorHAnsi"/>
        </w:rPr>
        <w:t>cenario</w:t>
      </w:r>
      <w:proofErr w:type="spellEnd"/>
      <w:r w:rsidRPr="006C487E">
        <w:rPr>
          <w:rFonts w:asciiTheme="minorHAnsi" w:hAnsiTheme="minorHAnsi" w:cstheme="minorHAnsi"/>
        </w:rPr>
        <w:t xml:space="preserve">.  </w:t>
      </w:r>
    </w:p>
    <w:p w14:paraId="226139B2" w14:textId="20AC15F8" w:rsidR="006C487E" w:rsidRPr="006C487E" w:rsidRDefault="006C487E" w:rsidP="006C487E">
      <w:pPr>
        <w:pStyle w:val="nasdaqsubhead"/>
        <w:ind w:left="0"/>
        <w:rPr>
          <w:rFonts w:asciiTheme="minorHAnsi" w:eastAsiaTheme="minorEastAsia" w:hAnsiTheme="minorHAnsi" w:cstheme="minorBidi"/>
          <w:b w:val="0"/>
          <w:caps w:val="0"/>
          <w:color w:val="auto"/>
          <w:spacing w:val="0"/>
          <w:sz w:val="20"/>
          <w:lang w:eastAsia="zh-CN"/>
        </w:rPr>
      </w:pPr>
      <w:r w:rsidRPr="006C487E">
        <w:rPr>
          <w:rFonts w:asciiTheme="minorHAnsi" w:eastAsiaTheme="minorEastAsia" w:hAnsiTheme="minorHAnsi" w:cstheme="minorBidi"/>
          <w:b w:val="0"/>
          <w:caps w:val="0"/>
          <w:color w:val="auto"/>
          <w:spacing w:val="0"/>
          <w:sz w:val="20"/>
          <w:lang w:eastAsia="zh-CN"/>
        </w:rPr>
        <w:t>After the MCA margin calculation has been completed the results are aggregated to higher levels (i.e. Margin Requirement Account, MRA) using the existing margin aggregation rules.</w:t>
      </w:r>
    </w:p>
    <w:p w14:paraId="490B254E" w14:textId="408CB516" w:rsidR="006C487E" w:rsidRPr="007F03F3" w:rsidRDefault="006C487E" w:rsidP="00596FA4">
      <w:pPr>
        <w:pStyle w:val="nasdaqsubhead"/>
        <w:ind w:left="0"/>
        <w:rPr>
          <w:rFonts w:asciiTheme="minorHAnsi" w:eastAsiaTheme="minorEastAsia" w:hAnsiTheme="minorHAnsi" w:cstheme="minorBidi"/>
          <w:caps w:val="0"/>
          <w:color w:val="auto"/>
          <w:spacing w:val="0"/>
          <w:sz w:val="20"/>
          <w:lang w:eastAsia="zh-CN"/>
        </w:rPr>
      </w:pPr>
      <w:r w:rsidRPr="007F03F3">
        <w:rPr>
          <w:rFonts w:asciiTheme="minorHAnsi" w:eastAsiaTheme="minorEastAsia" w:hAnsiTheme="minorHAnsi" w:cstheme="minorBidi"/>
          <w:caps w:val="0"/>
          <w:color w:val="auto"/>
          <w:spacing w:val="0"/>
          <w:sz w:val="20"/>
          <w:lang w:eastAsia="zh-CN"/>
        </w:rPr>
        <w:lastRenderedPageBreak/>
        <w:t>Step 1</w:t>
      </w:r>
      <w:r w:rsidR="00D212BB" w:rsidRPr="007F03F3">
        <w:rPr>
          <w:rFonts w:asciiTheme="minorHAnsi" w:eastAsiaTheme="minorEastAsia" w:hAnsiTheme="minorHAnsi" w:cstheme="minorBidi"/>
          <w:caps w:val="0"/>
          <w:color w:val="auto"/>
          <w:spacing w:val="0"/>
          <w:sz w:val="20"/>
          <w:lang w:eastAsia="zh-CN"/>
        </w:rPr>
        <w:t xml:space="preserve"> – A </w:t>
      </w:r>
      <w:r w:rsidR="001B6221" w:rsidRPr="007F03F3">
        <w:rPr>
          <w:rFonts w:asciiTheme="minorHAnsi" w:eastAsiaTheme="minorEastAsia" w:hAnsiTheme="minorHAnsi" w:cstheme="minorBidi"/>
          <w:caps w:val="0"/>
          <w:color w:val="auto"/>
          <w:spacing w:val="0"/>
          <w:sz w:val="20"/>
          <w:lang w:eastAsia="zh-CN"/>
        </w:rPr>
        <w:t>position is eligible for WWR</w:t>
      </w:r>
    </w:p>
    <w:p w14:paraId="78E8F7A6" w14:textId="70115ED8" w:rsidR="006C487E" w:rsidRDefault="006C487E" w:rsidP="006C487E">
      <w:pPr>
        <w:pStyle w:val="nasdaqsubhead"/>
        <w:ind w:left="0"/>
        <w:rPr>
          <w:rFonts w:asciiTheme="minorHAnsi" w:eastAsiaTheme="minorEastAsia" w:hAnsiTheme="minorHAnsi" w:cstheme="minorBidi"/>
          <w:b w:val="0"/>
          <w:caps w:val="0"/>
          <w:color w:val="auto"/>
          <w:spacing w:val="0"/>
          <w:sz w:val="20"/>
          <w:lang w:eastAsia="zh-CN"/>
        </w:rPr>
      </w:pPr>
      <w:r w:rsidRPr="006C487E">
        <w:rPr>
          <w:rFonts w:asciiTheme="minorHAnsi" w:eastAsiaTheme="minorEastAsia" w:hAnsiTheme="minorHAnsi" w:cstheme="minorBidi"/>
          <w:b w:val="0"/>
          <w:caps w:val="0"/>
          <w:color w:val="auto"/>
          <w:spacing w:val="0"/>
          <w:sz w:val="20"/>
          <w:lang w:eastAsia="zh-CN"/>
        </w:rPr>
        <w:t xml:space="preserve">A position is defined as all positions (futures, forwards, different </w:t>
      </w:r>
      <w:proofErr w:type="gramStart"/>
      <w:r w:rsidRPr="006C487E">
        <w:rPr>
          <w:rFonts w:asciiTheme="minorHAnsi" w:eastAsiaTheme="minorEastAsia" w:hAnsiTheme="minorHAnsi" w:cstheme="minorBidi"/>
          <w:b w:val="0"/>
          <w:caps w:val="0"/>
          <w:color w:val="auto"/>
          <w:spacing w:val="0"/>
          <w:sz w:val="20"/>
          <w:lang w:eastAsia="zh-CN"/>
        </w:rPr>
        <w:t>types</w:t>
      </w:r>
      <w:proofErr w:type="gramEnd"/>
      <w:r w:rsidRPr="006C487E">
        <w:rPr>
          <w:rFonts w:asciiTheme="minorHAnsi" w:eastAsiaTheme="minorEastAsia" w:hAnsiTheme="minorHAnsi" w:cstheme="minorBidi"/>
          <w:b w:val="0"/>
          <w:caps w:val="0"/>
          <w:color w:val="auto"/>
          <w:spacing w:val="0"/>
          <w:sz w:val="20"/>
          <w:lang w:eastAsia="zh-CN"/>
        </w:rPr>
        <w:t xml:space="preserve"> options and delivery positions) on the same underlying single stock within a Margin Calculation Account (MCA). The possibility to build a position in an underlying stock using different kinds of derivatives means that </w:t>
      </w:r>
      <w:proofErr w:type="gramStart"/>
      <w:r w:rsidRPr="006C487E">
        <w:rPr>
          <w:rFonts w:asciiTheme="minorHAnsi" w:eastAsiaTheme="minorEastAsia" w:hAnsiTheme="minorHAnsi" w:cstheme="minorBidi"/>
          <w:b w:val="0"/>
          <w:caps w:val="0"/>
          <w:color w:val="auto"/>
          <w:spacing w:val="0"/>
          <w:sz w:val="20"/>
          <w:lang w:eastAsia="zh-CN"/>
        </w:rPr>
        <w:t>the total</w:t>
      </w:r>
      <w:proofErr w:type="gramEnd"/>
      <w:r w:rsidRPr="006C487E">
        <w:rPr>
          <w:rFonts w:asciiTheme="minorHAnsi" w:eastAsiaTheme="minorEastAsia" w:hAnsiTheme="minorHAnsi" w:cstheme="minorBidi"/>
          <w:b w:val="0"/>
          <w:caps w:val="0"/>
          <w:color w:val="auto"/>
          <w:spacing w:val="0"/>
          <w:sz w:val="20"/>
          <w:lang w:eastAsia="zh-CN"/>
        </w:rPr>
        <w:t xml:space="preserve"> (or net) exposure to the stock needs to be </w:t>
      </w:r>
      <w:proofErr w:type="gramStart"/>
      <w:r w:rsidRPr="006C487E">
        <w:rPr>
          <w:rFonts w:asciiTheme="minorHAnsi" w:eastAsiaTheme="minorEastAsia" w:hAnsiTheme="minorHAnsi" w:cstheme="minorBidi"/>
          <w:b w:val="0"/>
          <w:caps w:val="0"/>
          <w:color w:val="auto"/>
          <w:spacing w:val="0"/>
          <w:sz w:val="20"/>
          <w:lang w:eastAsia="zh-CN"/>
        </w:rPr>
        <w:t>taken into account</w:t>
      </w:r>
      <w:proofErr w:type="gramEnd"/>
      <w:r w:rsidRPr="006C487E">
        <w:rPr>
          <w:rFonts w:asciiTheme="minorHAnsi" w:eastAsiaTheme="minorEastAsia" w:hAnsiTheme="minorHAnsi" w:cstheme="minorBidi"/>
          <w:b w:val="0"/>
          <w:caps w:val="0"/>
          <w:color w:val="auto"/>
          <w:spacing w:val="0"/>
          <w:sz w:val="20"/>
          <w:lang w:eastAsia="zh-CN"/>
        </w:rPr>
        <w:t>. This includes also delivery positions which are created during the time between expiration and settlement f</w:t>
      </w:r>
      <w:r w:rsidR="001B6221">
        <w:rPr>
          <w:rFonts w:asciiTheme="minorHAnsi" w:eastAsiaTheme="minorEastAsia" w:hAnsiTheme="minorHAnsi" w:cstheme="minorBidi"/>
          <w:b w:val="0"/>
          <w:caps w:val="0"/>
          <w:color w:val="auto"/>
          <w:spacing w:val="0"/>
          <w:sz w:val="20"/>
          <w:lang w:eastAsia="zh-CN"/>
        </w:rPr>
        <w:t>or physically settled contracts</w:t>
      </w:r>
      <w:r w:rsidRPr="006C487E">
        <w:rPr>
          <w:rFonts w:asciiTheme="minorHAnsi" w:eastAsiaTheme="minorEastAsia" w:hAnsiTheme="minorHAnsi" w:cstheme="minorBidi"/>
          <w:b w:val="0"/>
          <w:caps w:val="0"/>
          <w:color w:val="auto"/>
          <w:spacing w:val="0"/>
          <w:sz w:val="20"/>
          <w:lang w:eastAsia="zh-CN"/>
        </w:rPr>
        <w:t xml:space="preserve">. It also includes exposures to a stock obtained through positions in customized stock basket forward (Custom Basket Forward, “CBF”) contracts. </w:t>
      </w:r>
      <w:proofErr w:type="gramStart"/>
      <w:r w:rsidRPr="006C487E">
        <w:rPr>
          <w:rFonts w:asciiTheme="minorHAnsi" w:eastAsiaTheme="minorEastAsia" w:hAnsiTheme="minorHAnsi" w:cstheme="minorBidi"/>
          <w:b w:val="0"/>
          <w:caps w:val="0"/>
          <w:color w:val="auto"/>
          <w:spacing w:val="0"/>
          <w:sz w:val="20"/>
          <w:lang w:eastAsia="zh-CN"/>
        </w:rPr>
        <w:t>However</w:t>
      </w:r>
      <w:proofErr w:type="gramEnd"/>
      <w:r w:rsidRPr="006C487E">
        <w:rPr>
          <w:rFonts w:asciiTheme="minorHAnsi" w:eastAsiaTheme="minorEastAsia" w:hAnsiTheme="minorHAnsi" w:cstheme="minorBidi"/>
          <w:b w:val="0"/>
          <w:caps w:val="0"/>
          <w:color w:val="auto"/>
          <w:spacing w:val="0"/>
          <w:sz w:val="20"/>
          <w:lang w:eastAsia="zh-CN"/>
        </w:rPr>
        <w:t xml:space="preserve"> if the underlying is a</w:t>
      </w:r>
      <w:r>
        <w:rPr>
          <w:rFonts w:asciiTheme="minorHAnsi" w:eastAsiaTheme="minorEastAsia" w:hAnsiTheme="minorHAnsi" w:cstheme="minorBidi"/>
          <w:b w:val="0"/>
          <w:caps w:val="0"/>
          <w:color w:val="auto"/>
          <w:spacing w:val="0"/>
          <w:sz w:val="20"/>
          <w:lang w:eastAsia="zh-CN"/>
        </w:rPr>
        <w:t>n</w:t>
      </w:r>
      <w:r w:rsidRPr="006C487E">
        <w:rPr>
          <w:rFonts w:asciiTheme="minorHAnsi" w:eastAsiaTheme="minorEastAsia" w:hAnsiTheme="minorHAnsi" w:cstheme="minorBidi"/>
          <w:b w:val="0"/>
          <w:caps w:val="0"/>
          <w:color w:val="auto"/>
          <w:spacing w:val="0"/>
          <w:sz w:val="20"/>
          <w:lang w:eastAsia="zh-CN"/>
        </w:rPr>
        <w:t xml:space="preserve"> </w:t>
      </w:r>
      <w:proofErr w:type="gramStart"/>
      <w:r w:rsidRPr="006C487E">
        <w:rPr>
          <w:rFonts w:asciiTheme="minorHAnsi" w:eastAsiaTheme="minorEastAsia" w:hAnsiTheme="minorHAnsi" w:cstheme="minorBidi"/>
          <w:b w:val="0"/>
          <w:caps w:val="0"/>
          <w:color w:val="auto"/>
          <w:spacing w:val="0"/>
          <w:sz w:val="20"/>
          <w:lang w:eastAsia="zh-CN"/>
        </w:rPr>
        <w:t>index</w:t>
      </w:r>
      <w:proofErr w:type="gramEnd"/>
      <w:r w:rsidRPr="006C487E">
        <w:rPr>
          <w:rFonts w:asciiTheme="minorHAnsi" w:eastAsiaTheme="minorEastAsia" w:hAnsiTheme="minorHAnsi" w:cstheme="minorBidi"/>
          <w:b w:val="0"/>
          <w:caps w:val="0"/>
          <w:color w:val="auto"/>
          <w:spacing w:val="0"/>
          <w:sz w:val="20"/>
          <w:lang w:eastAsia="zh-CN"/>
        </w:rPr>
        <w:t xml:space="preserve"> then the position is not applicable</w:t>
      </w:r>
      <w:r w:rsidR="00D212BB">
        <w:rPr>
          <w:rFonts w:asciiTheme="minorHAnsi" w:eastAsiaTheme="minorEastAsia" w:hAnsiTheme="minorHAnsi" w:cstheme="minorBidi"/>
          <w:b w:val="0"/>
          <w:caps w:val="0"/>
          <w:color w:val="auto"/>
          <w:spacing w:val="0"/>
          <w:sz w:val="20"/>
          <w:lang w:eastAsia="zh-CN"/>
        </w:rPr>
        <w:t xml:space="preserve"> for WWR</w:t>
      </w:r>
      <w:r w:rsidR="0024674E">
        <w:rPr>
          <w:rFonts w:asciiTheme="minorHAnsi" w:eastAsiaTheme="minorEastAsia" w:hAnsiTheme="minorHAnsi" w:cstheme="minorBidi"/>
          <w:b w:val="0"/>
          <w:caps w:val="0"/>
          <w:color w:val="auto"/>
          <w:spacing w:val="0"/>
          <w:sz w:val="20"/>
          <w:lang w:eastAsia="zh-CN"/>
        </w:rPr>
        <w:t xml:space="preserve"> Margin Add-on</w:t>
      </w:r>
      <w:r w:rsidRPr="006C487E">
        <w:rPr>
          <w:rFonts w:asciiTheme="minorHAnsi" w:eastAsiaTheme="minorEastAsia" w:hAnsiTheme="minorHAnsi" w:cstheme="minorBidi"/>
          <w:b w:val="0"/>
          <w:caps w:val="0"/>
          <w:color w:val="auto"/>
          <w:spacing w:val="0"/>
          <w:sz w:val="20"/>
          <w:lang w:eastAsia="zh-CN"/>
        </w:rPr>
        <w:t xml:space="preserve">. </w:t>
      </w:r>
    </w:p>
    <w:p w14:paraId="0A883805" w14:textId="77777777" w:rsidR="006C487E" w:rsidRPr="006C487E" w:rsidRDefault="006C487E" w:rsidP="006C487E">
      <w:pPr>
        <w:pStyle w:val="nasdaqsubhead"/>
        <w:ind w:left="0"/>
        <w:rPr>
          <w:rFonts w:asciiTheme="minorHAnsi" w:eastAsiaTheme="minorEastAsia" w:hAnsiTheme="minorHAnsi" w:cstheme="minorBidi"/>
          <w:b w:val="0"/>
          <w:caps w:val="0"/>
          <w:color w:val="auto"/>
          <w:spacing w:val="0"/>
          <w:sz w:val="20"/>
          <w:lang w:eastAsia="zh-CN"/>
        </w:rPr>
      </w:pPr>
    </w:p>
    <w:p w14:paraId="1C718A80" w14:textId="40BF454F" w:rsidR="006C487E" w:rsidRDefault="006C487E" w:rsidP="006C487E">
      <w:pPr>
        <w:pStyle w:val="nasdaqsubhead"/>
        <w:ind w:left="0"/>
        <w:rPr>
          <w:rFonts w:asciiTheme="minorHAnsi" w:eastAsiaTheme="minorEastAsia" w:hAnsiTheme="minorHAnsi" w:cstheme="minorBidi"/>
          <w:b w:val="0"/>
          <w:caps w:val="0"/>
          <w:color w:val="auto"/>
          <w:spacing w:val="0"/>
          <w:sz w:val="20"/>
          <w:lang w:eastAsia="zh-CN"/>
        </w:rPr>
      </w:pPr>
      <w:r w:rsidRPr="006C487E">
        <w:rPr>
          <w:rFonts w:asciiTheme="minorHAnsi" w:eastAsiaTheme="minorEastAsia" w:hAnsiTheme="minorHAnsi" w:cstheme="minorBidi"/>
          <w:b w:val="0"/>
          <w:caps w:val="0"/>
          <w:color w:val="auto"/>
          <w:spacing w:val="0"/>
          <w:sz w:val="20"/>
          <w:lang w:eastAsia="zh-CN"/>
        </w:rPr>
        <w:t>Client accounts lacking porting arrangement als</w:t>
      </w:r>
      <w:r>
        <w:rPr>
          <w:rFonts w:asciiTheme="minorHAnsi" w:eastAsiaTheme="minorEastAsia" w:hAnsiTheme="minorHAnsi" w:cstheme="minorBidi"/>
          <w:b w:val="0"/>
          <w:caps w:val="0"/>
          <w:color w:val="auto"/>
          <w:spacing w:val="0"/>
          <w:sz w:val="20"/>
          <w:lang w:eastAsia="zh-CN"/>
        </w:rPr>
        <w:t xml:space="preserve">o qualify for WWR </w:t>
      </w:r>
      <w:r w:rsidR="0024674E">
        <w:rPr>
          <w:rFonts w:asciiTheme="minorHAnsi" w:eastAsiaTheme="minorEastAsia" w:hAnsiTheme="minorHAnsi" w:cstheme="minorBidi"/>
          <w:b w:val="0"/>
          <w:caps w:val="0"/>
          <w:color w:val="auto"/>
          <w:spacing w:val="0"/>
          <w:sz w:val="20"/>
          <w:lang w:eastAsia="zh-CN"/>
        </w:rPr>
        <w:t>M</w:t>
      </w:r>
      <w:r>
        <w:rPr>
          <w:rFonts w:asciiTheme="minorHAnsi" w:eastAsiaTheme="minorEastAsia" w:hAnsiTheme="minorHAnsi" w:cstheme="minorBidi"/>
          <w:b w:val="0"/>
          <w:caps w:val="0"/>
          <w:color w:val="auto"/>
          <w:spacing w:val="0"/>
          <w:sz w:val="20"/>
          <w:lang w:eastAsia="zh-CN"/>
        </w:rPr>
        <w:t xml:space="preserve">argin </w:t>
      </w:r>
      <w:r w:rsidR="0024674E">
        <w:rPr>
          <w:rFonts w:asciiTheme="minorHAnsi" w:eastAsiaTheme="minorEastAsia" w:hAnsiTheme="minorHAnsi" w:cstheme="minorBidi"/>
          <w:b w:val="0"/>
          <w:caps w:val="0"/>
          <w:color w:val="auto"/>
          <w:spacing w:val="0"/>
          <w:sz w:val="20"/>
          <w:lang w:eastAsia="zh-CN"/>
        </w:rPr>
        <w:t>A</w:t>
      </w:r>
      <w:r>
        <w:rPr>
          <w:rFonts w:asciiTheme="minorHAnsi" w:eastAsiaTheme="minorEastAsia" w:hAnsiTheme="minorHAnsi" w:cstheme="minorBidi"/>
          <w:b w:val="0"/>
          <w:caps w:val="0"/>
          <w:color w:val="auto"/>
          <w:spacing w:val="0"/>
          <w:sz w:val="20"/>
          <w:lang w:eastAsia="zh-CN"/>
        </w:rPr>
        <w:t>dd-on</w:t>
      </w:r>
      <w:r w:rsidRPr="006C487E">
        <w:rPr>
          <w:rFonts w:asciiTheme="minorHAnsi" w:eastAsiaTheme="minorEastAsia" w:hAnsiTheme="minorHAnsi" w:cstheme="minorBidi"/>
          <w:b w:val="0"/>
          <w:caps w:val="0"/>
          <w:color w:val="auto"/>
          <w:spacing w:val="0"/>
          <w:sz w:val="20"/>
          <w:lang w:eastAsia="zh-CN"/>
        </w:rPr>
        <w:t xml:space="preserve">. </w:t>
      </w:r>
    </w:p>
    <w:p w14:paraId="0AC93FE6" w14:textId="77777777" w:rsidR="006C487E" w:rsidRPr="006C487E" w:rsidRDefault="006C487E" w:rsidP="006C487E">
      <w:pPr>
        <w:pStyle w:val="nasdaqsubhead"/>
        <w:ind w:left="0"/>
        <w:rPr>
          <w:rFonts w:asciiTheme="minorHAnsi" w:eastAsiaTheme="minorEastAsia" w:hAnsiTheme="minorHAnsi" w:cstheme="minorBidi"/>
          <w:b w:val="0"/>
          <w:caps w:val="0"/>
          <w:color w:val="auto"/>
          <w:spacing w:val="0"/>
          <w:sz w:val="20"/>
          <w:lang w:eastAsia="zh-CN"/>
        </w:rPr>
      </w:pPr>
    </w:p>
    <w:p w14:paraId="4ADB1941" w14:textId="1FF5F17C" w:rsidR="006C487E" w:rsidRPr="006C487E" w:rsidRDefault="006C487E" w:rsidP="006C487E">
      <w:pPr>
        <w:pStyle w:val="nasdaqsubhead"/>
        <w:ind w:left="0"/>
        <w:rPr>
          <w:rFonts w:asciiTheme="minorHAnsi" w:eastAsiaTheme="minorEastAsia" w:hAnsiTheme="minorHAnsi" w:cstheme="minorBidi"/>
          <w:b w:val="0"/>
          <w:caps w:val="0"/>
          <w:color w:val="auto"/>
          <w:spacing w:val="0"/>
          <w:sz w:val="20"/>
          <w:lang w:eastAsia="zh-CN"/>
        </w:rPr>
      </w:pPr>
      <w:proofErr w:type="gramStart"/>
      <w:r w:rsidRPr="006C487E">
        <w:rPr>
          <w:rFonts w:asciiTheme="minorHAnsi" w:eastAsiaTheme="minorEastAsia" w:hAnsiTheme="minorHAnsi" w:cstheme="minorBidi"/>
          <w:b w:val="0"/>
          <w:caps w:val="0"/>
          <w:color w:val="auto"/>
          <w:spacing w:val="0"/>
          <w:sz w:val="20"/>
          <w:lang w:eastAsia="zh-CN"/>
        </w:rPr>
        <w:t>Finally</w:t>
      </w:r>
      <w:proofErr w:type="gramEnd"/>
      <w:r w:rsidRPr="006C487E">
        <w:rPr>
          <w:rFonts w:asciiTheme="minorHAnsi" w:eastAsiaTheme="minorEastAsia" w:hAnsiTheme="minorHAnsi" w:cstheme="minorBidi"/>
          <w:b w:val="0"/>
          <w:caps w:val="0"/>
          <w:color w:val="auto"/>
          <w:spacing w:val="0"/>
          <w:sz w:val="20"/>
          <w:lang w:eastAsia="zh-CN"/>
        </w:rPr>
        <w:t xml:space="preserve"> the applicability for WWR includes </w:t>
      </w:r>
      <w:proofErr w:type="gramStart"/>
      <w:r w:rsidRPr="006C487E">
        <w:rPr>
          <w:rFonts w:asciiTheme="minorHAnsi" w:eastAsiaTheme="minorEastAsia" w:hAnsiTheme="minorHAnsi" w:cstheme="minorBidi"/>
          <w:b w:val="0"/>
          <w:caps w:val="0"/>
          <w:color w:val="auto"/>
          <w:spacing w:val="0"/>
          <w:sz w:val="20"/>
          <w:lang w:eastAsia="zh-CN"/>
        </w:rPr>
        <w:t>to check</w:t>
      </w:r>
      <w:proofErr w:type="gramEnd"/>
      <w:r w:rsidRPr="006C487E">
        <w:rPr>
          <w:rFonts w:asciiTheme="minorHAnsi" w:eastAsiaTheme="minorEastAsia" w:hAnsiTheme="minorHAnsi" w:cstheme="minorBidi"/>
          <w:b w:val="0"/>
          <w:caps w:val="0"/>
          <w:color w:val="auto"/>
          <w:spacing w:val="0"/>
          <w:sz w:val="20"/>
          <w:lang w:eastAsia="zh-CN"/>
        </w:rPr>
        <w:t xml:space="preserve"> the relationship between issuer of the stock and the clearing member holding the position; if the entity issuing the stock belongs to the same legal group as the clearing </w:t>
      </w:r>
      <w:proofErr w:type="gramStart"/>
      <w:r w:rsidRPr="006C487E">
        <w:rPr>
          <w:rFonts w:asciiTheme="minorHAnsi" w:eastAsiaTheme="minorEastAsia" w:hAnsiTheme="minorHAnsi" w:cstheme="minorBidi"/>
          <w:b w:val="0"/>
          <w:caps w:val="0"/>
          <w:color w:val="auto"/>
          <w:spacing w:val="0"/>
          <w:sz w:val="20"/>
          <w:lang w:eastAsia="zh-CN"/>
        </w:rPr>
        <w:t>member</w:t>
      </w:r>
      <w:proofErr w:type="gramEnd"/>
      <w:r w:rsidRPr="006C487E">
        <w:rPr>
          <w:rFonts w:asciiTheme="minorHAnsi" w:eastAsiaTheme="minorEastAsia" w:hAnsiTheme="minorHAnsi" w:cstheme="minorBidi"/>
          <w:b w:val="0"/>
          <w:caps w:val="0"/>
          <w:color w:val="auto"/>
          <w:spacing w:val="0"/>
          <w:sz w:val="20"/>
          <w:lang w:eastAsia="zh-CN"/>
        </w:rPr>
        <w:t xml:space="preserve"> then it is applicable for </w:t>
      </w:r>
      <w:r w:rsidR="0024674E">
        <w:rPr>
          <w:rFonts w:asciiTheme="minorHAnsi" w:eastAsiaTheme="minorEastAsia" w:hAnsiTheme="minorHAnsi" w:cstheme="minorBidi"/>
          <w:b w:val="0"/>
          <w:caps w:val="0"/>
          <w:color w:val="auto"/>
          <w:spacing w:val="0"/>
          <w:sz w:val="20"/>
          <w:lang w:eastAsia="zh-CN"/>
        </w:rPr>
        <w:t>WWR M</w:t>
      </w:r>
      <w:r w:rsidRPr="006C487E">
        <w:rPr>
          <w:rFonts w:asciiTheme="minorHAnsi" w:eastAsiaTheme="minorEastAsia" w:hAnsiTheme="minorHAnsi" w:cstheme="minorBidi"/>
          <w:b w:val="0"/>
          <w:caps w:val="0"/>
          <w:color w:val="auto"/>
          <w:spacing w:val="0"/>
          <w:sz w:val="20"/>
          <w:lang w:eastAsia="zh-CN"/>
        </w:rPr>
        <w:t xml:space="preserve">argin </w:t>
      </w:r>
      <w:r w:rsidR="0024674E">
        <w:rPr>
          <w:rFonts w:asciiTheme="minorHAnsi" w:eastAsiaTheme="minorEastAsia" w:hAnsiTheme="minorHAnsi" w:cstheme="minorBidi"/>
          <w:b w:val="0"/>
          <w:caps w:val="0"/>
          <w:color w:val="auto"/>
          <w:spacing w:val="0"/>
          <w:sz w:val="20"/>
          <w:lang w:eastAsia="zh-CN"/>
        </w:rPr>
        <w:t>A</w:t>
      </w:r>
      <w:r w:rsidRPr="006C487E">
        <w:rPr>
          <w:rFonts w:asciiTheme="minorHAnsi" w:eastAsiaTheme="minorEastAsia" w:hAnsiTheme="minorHAnsi" w:cstheme="minorBidi"/>
          <w:b w:val="0"/>
          <w:caps w:val="0"/>
          <w:color w:val="auto"/>
          <w:spacing w:val="0"/>
          <w:sz w:val="20"/>
          <w:lang w:eastAsia="zh-CN"/>
        </w:rPr>
        <w:t>dd-on.</w:t>
      </w:r>
    </w:p>
    <w:p w14:paraId="47E009E8" w14:textId="7E22EF96" w:rsidR="006C487E" w:rsidRDefault="006C487E" w:rsidP="00596FA4">
      <w:pPr>
        <w:pStyle w:val="nasdaqsubhead"/>
        <w:ind w:left="0"/>
        <w:rPr>
          <w:rFonts w:asciiTheme="minorHAnsi" w:eastAsiaTheme="minorEastAsia" w:hAnsiTheme="minorHAnsi" w:cstheme="minorBidi"/>
          <w:b w:val="0"/>
          <w:caps w:val="0"/>
          <w:color w:val="auto"/>
          <w:spacing w:val="0"/>
          <w:sz w:val="20"/>
          <w:lang w:eastAsia="zh-CN"/>
        </w:rPr>
      </w:pPr>
    </w:p>
    <w:p w14:paraId="1D4E43CE" w14:textId="6B8B50E4" w:rsidR="00D212BB" w:rsidRPr="007F03F3" w:rsidRDefault="00D212BB" w:rsidP="00596FA4">
      <w:pPr>
        <w:pStyle w:val="nasdaqsubhead"/>
        <w:ind w:left="0"/>
        <w:rPr>
          <w:rFonts w:asciiTheme="minorHAnsi" w:eastAsiaTheme="minorEastAsia" w:hAnsiTheme="minorHAnsi" w:cstheme="minorBidi"/>
          <w:caps w:val="0"/>
          <w:color w:val="auto"/>
          <w:spacing w:val="0"/>
          <w:sz w:val="20"/>
          <w:lang w:eastAsia="zh-CN"/>
        </w:rPr>
      </w:pPr>
      <w:r w:rsidRPr="007F03F3">
        <w:rPr>
          <w:rFonts w:asciiTheme="minorHAnsi" w:eastAsiaTheme="minorEastAsia" w:hAnsiTheme="minorHAnsi" w:cstheme="minorBidi"/>
          <w:caps w:val="0"/>
          <w:color w:val="auto"/>
          <w:spacing w:val="0"/>
          <w:sz w:val="20"/>
          <w:lang w:eastAsia="zh-CN"/>
        </w:rPr>
        <w:t>Step 1</w:t>
      </w:r>
      <w:r w:rsidR="00663B25" w:rsidRPr="007F03F3">
        <w:rPr>
          <w:rFonts w:asciiTheme="minorHAnsi" w:eastAsiaTheme="minorEastAsia" w:hAnsiTheme="minorHAnsi" w:cstheme="minorBidi"/>
          <w:caps w:val="0"/>
          <w:color w:val="auto"/>
          <w:spacing w:val="0"/>
          <w:sz w:val="20"/>
          <w:lang w:eastAsia="zh-CN"/>
        </w:rPr>
        <w:t>.</w:t>
      </w:r>
      <w:r w:rsidRPr="007F03F3">
        <w:rPr>
          <w:rFonts w:asciiTheme="minorHAnsi" w:eastAsiaTheme="minorEastAsia" w:hAnsiTheme="minorHAnsi" w:cstheme="minorBidi"/>
          <w:caps w:val="0"/>
          <w:color w:val="auto"/>
          <w:spacing w:val="0"/>
          <w:sz w:val="20"/>
          <w:lang w:eastAsia="zh-CN"/>
        </w:rPr>
        <w:t>a.</w:t>
      </w:r>
      <w:r w:rsidR="001B6221" w:rsidRPr="007F03F3">
        <w:rPr>
          <w:rFonts w:asciiTheme="minorHAnsi" w:eastAsiaTheme="minorEastAsia" w:hAnsiTheme="minorHAnsi" w:cstheme="minorBidi"/>
          <w:caps w:val="0"/>
          <w:color w:val="auto"/>
          <w:spacing w:val="0"/>
          <w:sz w:val="20"/>
          <w:lang w:eastAsia="zh-CN"/>
        </w:rPr>
        <w:t xml:space="preserve"> – WWR Price Scenario</w:t>
      </w:r>
    </w:p>
    <w:p w14:paraId="630DB0AA" w14:textId="248ECD8E" w:rsidR="001B6221" w:rsidRPr="001B6221" w:rsidRDefault="001B6221" w:rsidP="001B6221">
      <w:pPr>
        <w:spacing w:line="240" w:lineRule="auto"/>
        <w:rPr>
          <w:rFonts w:asciiTheme="minorHAnsi" w:eastAsia="MS Mincho" w:hAnsiTheme="minorHAnsi" w:cstheme="minorHAnsi"/>
          <w:sz w:val="20"/>
          <w:lang w:eastAsia="ja-JP"/>
        </w:rPr>
      </w:pPr>
      <w:r w:rsidRPr="001B6221">
        <w:rPr>
          <w:rFonts w:asciiTheme="minorHAnsi" w:eastAsia="MS Mincho" w:hAnsiTheme="minorHAnsi" w:cstheme="minorHAnsi"/>
          <w:sz w:val="20"/>
          <w:lang w:eastAsia="ja-JP"/>
        </w:rPr>
        <w:t>In step 1</w:t>
      </w:r>
      <w:r w:rsidR="00663B25">
        <w:rPr>
          <w:rFonts w:asciiTheme="minorHAnsi" w:eastAsia="MS Mincho" w:hAnsiTheme="minorHAnsi" w:cstheme="minorHAnsi"/>
          <w:sz w:val="20"/>
          <w:lang w:eastAsia="ja-JP"/>
        </w:rPr>
        <w:t>.</w:t>
      </w:r>
      <w:r w:rsidRPr="001B6221">
        <w:rPr>
          <w:rFonts w:asciiTheme="minorHAnsi" w:eastAsia="MS Mincho" w:hAnsiTheme="minorHAnsi" w:cstheme="minorHAnsi"/>
          <w:sz w:val="20"/>
          <w:lang w:eastAsia="ja-JP"/>
        </w:rPr>
        <w:t xml:space="preserve">a. the position is re-valued at the </w:t>
      </w:r>
      <w:r w:rsidR="0024674E">
        <w:rPr>
          <w:rFonts w:asciiTheme="minorHAnsi" w:eastAsia="MS Mincho" w:hAnsiTheme="minorHAnsi" w:cstheme="minorHAnsi"/>
          <w:sz w:val="20"/>
          <w:lang w:eastAsia="ja-JP"/>
        </w:rPr>
        <w:t>WWR P</w:t>
      </w:r>
      <w:r w:rsidRPr="001B6221">
        <w:rPr>
          <w:rFonts w:asciiTheme="minorHAnsi" w:eastAsia="MS Mincho" w:hAnsiTheme="minorHAnsi" w:cstheme="minorHAnsi"/>
          <w:sz w:val="20"/>
          <w:lang w:eastAsia="ja-JP"/>
        </w:rPr>
        <w:t xml:space="preserve">rice </w:t>
      </w:r>
      <w:r w:rsidR="0024674E">
        <w:rPr>
          <w:rFonts w:asciiTheme="minorHAnsi" w:eastAsia="MS Mincho" w:hAnsiTheme="minorHAnsi" w:cstheme="minorHAnsi"/>
          <w:sz w:val="20"/>
          <w:lang w:eastAsia="ja-JP"/>
        </w:rPr>
        <w:t>S</w:t>
      </w:r>
      <w:r w:rsidRPr="001B6221">
        <w:rPr>
          <w:rFonts w:asciiTheme="minorHAnsi" w:eastAsia="MS Mincho" w:hAnsiTheme="minorHAnsi" w:cstheme="minorHAnsi"/>
          <w:sz w:val="20"/>
          <w:lang w:eastAsia="ja-JP"/>
        </w:rPr>
        <w:t xml:space="preserve">cenario. The WWR </w:t>
      </w:r>
      <w:r w:rsidR="0024674E">
        <w:rPr>
          <w:rFonts w:asciiTheme="minorHAnsi" w:eastAsia="MS Mincho" w:hAnsiTheme="minorHAnsi" w:cstheme="minorHAnsi"/>
          <w:sz w:val="20"/>
          <w:lang w:eastAsia="ja-JP"/>
        </w:rPr>
        <w:t>P</w:t>
      </w:r>
      <w:r w:rsidRPr="001B6221">
        <w:rPr>
          <w:rFonts w:asciiTheme="minorHAnsi" w:eastAsia="MS Mincho" w:hAnsiTheme="minorHAnsi" w:cstheme="minorHAnsi"/>
          <w:sz w:val="20"/>
          <w:lang w:eastAsia="ja-JP"/>
        </w:rPr>
        <w:t xml:space="preserve">rice </w:t>
      </w:r>
      <w:r w:rsidR="0024674E">
        <w:rPr>
          <w:rFonts w:asciiTheme="minorHAnsi" w:eastAsia="MS Mincho" w:hAnsiTheme="minorHAnsi" w:cstheme="minorHAnsi"/>
          <w:sz w:val="20"/>
          <w:lang w:eastAsia="ja-JP"/>
        </w:rPr>
        <w:t>S</w:t>
      </w:r>
      <w:r w:rsidRPr="001B6221">
        <w:rPr>
          <w:rFonts w:asciiTheme="minorHAnsi" w:eastAsia="MS Mincho" w:hAnsiTheme="minorHAnsi" w:cstheme="minorHAnsi"/>
          <w:sz w:val="20"/>
          <w:lang w:eastAsia="ja-JP"/>
        </w:rPr>
        <w:t xml:space="preserve">cenario is at present set to 0, but it </w:t>
      </w:r>
      <w:r w:rsidR="00F42131">
        <w:rPr>
          <w:rFonts w:asciiTheme="minorHAnsi" w:eastAsia="MS Mincho" w:hAnsiTheme="minorHAnsi" w:cstheme="minorHAnsi"/>
          <w:sz w:val="20"/>
          <w:lang w:eastAsia="ja-JP"/>
        </w:rPr>
        <w:t>is</w:t>
      </w:r>
      <w:r w:rsidRPr="001B6221">
        <w:rPr>
          <w:rFonts w:asciiTheme="minorHAnsi" w:eastAsia="MS Mincho" w:hAnsiTheme="minorHAnsi" w:cstheme="minorHAnsi"/>
          <w:sz w:val="20"/>
          <w:lang w:eastAsia="ja-JP"/>
        </w:rPr>
        <w:t xml:space="preserve"> considered to </w:t>
      </w:r>
      <w:r w:rsidR="00F42131">
        <w:rPr>
          <w:rFonts w:asciiTheme="minorHAnsi" w:eastAsia="MS Mincho" w:hAnsiTheme="minorHAnsi" w:cstheme="minorHAnsi"/>
          <w:sz w:val="20"/>
          <w:lang w:eastAsia="ja-JP"/>
        </w:rPr>
        <w:t>set it to a higher value</w:t>
      </w:r>
      <w:r w:rsidRPr="001B6221">
        <w:rPr>
          <w:rFonts w:asciiTheme="minorHAnsi" w:eastAsia="MS Mincho" w:hAnsiTheme="minorHAnsi" w:cstheme="minorHAnsi"/>
          <w:sz w:val="20"/>
          <w:lang w:eastAsia="ja-JP"/>
        </w:rPr>
        <w:t xml:space="preserve"> as a future model development. </w:t>
      </w:r>
    </w:p>
    <w:p w14:paraId="1F3F5775" w14:textId="4E4B1DA6" w:rsidR="001B6221" w:rsidRPr="001B6221" w:rsidRDefault="001B6221" w:rsidP="001B6221">
      <w:pPr>
        <w:spacing w:line="240" w:lineRule="auto"/>
        <w:rPr>
          <w:rFonts w:asciiTheme="minorHAnsi" w:eastAsia="MS Mincho" w:hAnsiTheme="minorHAnsi" w:cstheme="minorHAnsi"/>
          <w:sz w:val="20"/>
          <w:lang w:eastAsia="ja-JP"/>
        </w:rPr>
      </w:pPr>
      <w:r w:rsidRPr="001B6221">
        <w:rPr>
          <w:rFonts w:asciiTheme="minorHAnsi" w:eastAsia="MS Mincho" w:hAnsiTheme="minorHAnsi" w:cstheme="minorHAnsi"/>
          <w:sz w:val="20"/>
          <w:lang w:eastAsia="ja-JP"/>
        </w:rPr>
        <w:t xml:space="preserve">For the case with WWR </w:t>
      </w:r>
      <w:r w:rsidR="0024674E">
        <w:rPr>
          <w:rFonts w:asciiTheme="minorHAnsi" w:eastAsia="MS Mincho" w:hAnsiTheme="minorHAnsi" w:cstheme="minorHAnsi"/>
          <w:sz w:val="20"/>
          <w:lang w:eastAsia="ja-JP"/>
        </w:rPr>
        <w:t>P</w:t>
      </w:r>
      <w:r w:rsidRPr="001B6221">
        <w:rPr>
          <w:rFonts w:asciiTheme="minorHAnsi" w:eastAsia="MS Mincho" w:hAnsiTheme="minorHAnsi" w:cstheme="minorHAnsi"/>
          <w:sz w:val="20"/>
          <w:lang w:eastAsia="ja-JP"/>
        </w:rPr>
        <w:t xml:space="preserve">rice </w:t>
      </w:r>
      <w:r w:rsidR="0024674E">
        <w:rPr>
          <w:rFonts w:asciiTheme="minorHAnsi" w:eastAsia="MS Mincho" w:hAnsiTheme="minorHAnsi" w:cstheme="minorHAnsi"/>
          <w:sz w:val="20"/>
          <w:lang w:eastAsia="ja-JP"/>
        </w:rPr>
        <w:t>S</w:t>
      </w:r>
      <w:r w:rsidRPr="001B6221">
        <w:rPr>
          <w:rFonts w:asciiTheme="minorHAnsi" w:eastAsia="MS Mincho" w:hAnsiTheme="minorHAnsi" w:cstheme="minorHAnsi"/>
          <w:sz w:val="20"/>
          <w:lang w:eastAsia="ja-JP"/>
        </w:rPr>
        <w:t xml:space="preserve">cenario = 0 there are a few deviations from the base methodology with respect to the re-valuation calculation. The reason for this is that the base methodology aims to determine the close-out cost of a derivative, while in the WWR </w:t>
      </w:r>
      <w:r w:rsidR="0024674E">
        <w:rPr>
          <w:rFonts w:asciiTheme="minorHAnsi" w:eastAsia="MS Mincho" w:hAnsiTheme="minorHAnsi" w:cstheme="minorHAnsi"/>
          <w:sz w:val="20"/>
          <w:lang w:eastAsia="ja-JP"/>
        </w:rPr>
        <w:t>P</w:t>
      </w:r>
      <w:r w:rsidRPr="001B6221">
        <w:rPr>
          <w:rFonts w:asciiTheme="minorHAnsi" w:eastAsia="MS Mincho" w:hAnsiTheme="minorHAnsi" w:cstheme="minorHAnsi"/>
          <w:sz w:val="20"/>
          <w:lang w:eastAsia="ja-JP"/>
        </w:rPr>
        <w:t xml:space="preserve">rice </w:t>
      </w:r>
      <w:r w:rsidR="0024674E">
        <w:rPr>
          <w:rFonts w:asciiTheme="minorHAnsi" w:eastAsia="MS Mincho" w:hAnsiTheme="minorHAnsi" w:cstheme="minorHAnsi"/>
          <w:sz w:val="20"/>
          <w:lang w:eastAsia="ja-JP"/>
        </w:rPr>
        <w:t>S</w:t>
      </w:r>
      <w:r w:rsidRPr="001B6221">
        <w:rPr>
          <w:rFonts w:asciiTheme="minorHAnsi" w:eastAsia="MS Mincho" w:hAnsiTheme="minorHAnsi" w:cstheme="minorHAnsi"/>
          <w:sz w:val="20"/>
          <w:lang w:eastAsia="ja-JP"/>
        </w:rPr>
        <w:t xml:space="preserve">cenario = 0 case the assumption is that there is no longer a functioning market for the stock and for derivatives on that stock, </w:t>
      </w:r>
      <w:proofErr w:type="spellStart"/>
      <w:r w:rsidRPr="001B6221">
        <w:rPr>
          <w:rFonts w:asciiTheme="minorHAnsi" w:eastAsia="MS Mincho" w:hAnsiTheme="minorHAnsi" w:cstheme="minorHAnsi"/>
          <w:sz w:val="20"/>
          <w:lang w:eastAsia="ja-JP"/>
        </w:rPr>
        <w:t>i</w:t>
      </w:r>
      <w:proofErr w:type="spellEnd"/>
      <w:r w:rsidRPr="001B6221">
        <w:rPr>
          <w:rFonts w:asciiTheme="minorHAnsi" w:eastAsia="MS Mincho" w:hAnsiTheme="minorHAnsi" w:cstheme="minorHAnsi"/>
          <w:sz w:val="20"/>
          <w:lang w:eastAsia="ja-JP"/>
        </w:rPr>
        <w:t>. close-out is not applicable. The</w:t>
      </w:r>
      <w:r w:rsidR="00F42131">
        <w:rPr>
          <w:rFonts w:asciiTheme="minorHAnsi" w:eastAsia="MS Mincho" w:hAnsiTheme="minorHAnsi" w:cstheme="minorHAnsi"/>
          <w:sz w:val="20"/>
          <w:lang w:eastAsia="ja-JP"/>
        </w:rPr>
        <w:t>se</w:t>
      </w:r>
      <w:r w:rsidRPr="001B6221">
        <w:rPr>
          <w:rFonts w:asciiTheme="minorHAnsi" w:eastAsia="MS Mincho" w:hAnsiTheme="minorHAnsi" w:cstheme="minorHAnsi"/>
          <w:sz w:val="20"/>
          <w:lang w:eastAsia="ja-JP"/>
        </w:rPr>
        <w:t xml:space="preserve"> deviations</w:t>
      </w:r>
      <w:r w:rsidR="00F42131">
        <w:rPr>
          <w:rFonts w:asciiTheme="minorHAnsi" w:eastAsia="MS Mincho" w:hAnsiTheme="minorHAnsi" w:cstheme="minorHAnsi"/>
          <w:sz w:val="20"/>
          <w:lang w:eastAsia="ja-JP"/>
        </w:rPr>
        <w:t xml:space="preserve"> are </w:t>
      </w:r>
      <w:r w:rsidRPr="001B6221">
        <w:rPr>
          <w:rFonts w:asciiTheme="minorHAnsi" w:eastAsia="MS Mincho" w:hAnsiTheme="minorHAnsi" w:cstheme="minorHAnsi"/>
          <w:sz w:val="20"/>
          <w:lang w:eastAsia="ja-JP"/>
        </w:rPr>
        <w:t>listed below.</w:t>
      </w:r>
    </w:p>
    <w:p w14:paraId="5C0AD3FB" w14:textId="77777777" w:rsidR="001B6221" w:rsidRPr="001B6221" w:rsidRDefault="001B6221" w:rsidP="001B6221">
      <w:pPr>
        <w:numPr>
          <w:ilvl w:val="0"/>
          <w:numId w:val="9"/>
        </w:numPr>
        <w:spacing w:line="240" w:lineRule="auto"/>
        <w:rPr>
          <w:rFonts w:asciiTheme="minorHAnsi" w:eastAsia="MS Mincho" w:hAnsiTheme="minorHAnsi" w:cstheme="minorHAnsi"/>
          <w:sz w:val="20"/>
          <w:lang w:eastAsia="ja-JP"/>
        </w:rPr>
      </w:pPr>
      <w:r w:rsidRPr="001B6221">
        <w:rPr>
          <w:rFonts w:asciiTheme="minorHAnsi" w:eastAsia="MS Mincho" w:hAnsiTheme="minorHAnsi" w:cstheme="minorHAnsi"/>
          <w:sz w:val="20"/>
          <w:lang w:eastAsia="ja-JP"/>
        </w:rPr>
        <w:t>Forward and future prices are set to 0</w:t>
      </w:r>
    </w:p>
    <w:p w14:paraId="26733208" w14:textId="77777777" w:rsidR="001B6221" w:rsidRPr="001B6221" w:rsidRDefault="001B6221" w:rsidP="001B6221">
      <w:pPr>
        <w:numPr>
          <w:ilvl w:val="0"/>
          <w:numId w:val="9"/>
        </w:numPr>
        <w:spacing w:line="240" w:lineRule="auto"/>
        <w:rPr>
          <w:rFonts w:asciiTheme="minorHAnsi" w:eastAsia="MS Mincho" w:hAnsiTheme="minorHAnsi" w:cstheme="minorHAnsi"/>
          <w:sz w:val="20"/>
          <w:lang w:eastAsia="ja-JP"/>
        </w:rPr>
      </w:pPr>
      <w:r w:rsidRPr="001B6221">
        <w:rPr>
          <w:rFonts w:asciiTheme="minorHAnsi" w:eastAsia="MS Mincho" w:hAnsiTheme="minorHAnsi" w:cstheme="minorHAnsi"/>
          <w:sz w:val="20"/>
          <w:lang w:eastAsia="ja-JP"/>
        </w:rPr>
        <w:t>Adjustment for forward/future bid/ask spread is not applied</w:t>
      </w:r>
    </w:p>
    <w:p w14:paraId="2C531B53" w14:textId="77777777" w:rsidR="001B6221" w:rsidRPr="001B6221" w:rsidRDefault="001B6221" w:rsidP="001B6221">
      <w:pPr>
        <w:numPr>
          <w:ilvl w:val="0"/>
          <w:numId w:val="9"/>
        </w:numPr>
        <w:spacing w:line="240" w:lineRule="auto"/>
        <w:rPr>
          <w:rFonts w:asciiTheme="minorHAnsi" w:eastAsia="MS Mincho" w:hAnsiTheme="minorHAnsi" w:cstheme="minorHAnsi"/>
          <w:sz w:val="20"/>
          <w:lang w:eastAsia="ja-JP"/>
        </w:rPr>
      </w:pPr>
      <w:r w:rsidRPr="001B6221">
        <w:rPr>
          <w:rFonts w:asciiTheme="minorHAnsi" w:eastAsia="MS Mincho" w:hAnsiTheme="minorHAnsi" w:cstheme="minorHAnsi"/>
          <w:sz w:val="20"/>
          <w:lang w:eastAsia="ja-JP"/>
        </w:rPr>
        <w:t xml:space="preserve">Option fine tuning (bid/ask spread, reduction in time value held options, </w:t>
      </w:r>
      <w:proofErr w:type="spellStart"/>
      <w:r w:rsidRPr="001B6221">
        <w:rPr>
          <w:rFonts w:asciiTheme="minorHAnsi" w:eastAsia="MS Mincho" w:hAnsiTheme="minorHAnsi" w:cstheme="minorHAnsi"/>
          <w:sz w:val="20"/>
          <w:lang w:eastAsia="ja-JP"/>
        </w:rPr>
        <w:t>etc</w:t>
      </w:r>
      <w:proofErr w:type="spellEnd"/>
      <w:r w:rsidRPr="001B6221">
        <w:rPr>
          <w:rFonts w:asciiTheme="minorHAnsi" w:eastAsia="MS Mincho" w:hAnsiTheme="minorHAnsi" w:cstheme="minorHAnsi"/>
          <w:sz w:val="20"/>
          <w:lang w:eastAsia="ja-JP"/>
        </w:rPr>
        <w:t>) is not applied</w:t>
      </w:r>
    </w:p>
    <w:p w14:paraId="0B4BFE65" w14:textId="2E0F4475" w:rsidR="001B6221" w:rsidRPr="001B6221" w:rsidRDefault="001B6221" w:rsidP="001B6221">
      <w:pPr>
        <w:spacing w:line="240" w:lineRule="auto"/>
        <w:rPr>
          <w:rFonts w:asciiTheme="minorHAnsi" w:eastAsia="MS Mincho" w:hAnsiTheme="minorHAnsi" w:cstheme="minorHAnsi"/>
          <w:sz w:val="20"/>
          <w:lang w:eastAsia="ja-JP"/>
        </w:rPr>
      </w:pPr>
      <w:r w:rsidRPr="001B6221">
        <w:rPr>
          <w:rFonts w:asciiTheme="minorHAnsi" w:eastAsia="MS Mincho" w:hAnsiTheme="minorHAnsi" w:cstheme="minorHAnsi"/>
          <w:sz w:val="20"/>
          <w:lang w:eastAsia="ja-JP"/>
        </w:rPr>
        <w:t xml:space="preserve">For the case with WWR price scenario &gt; 0 a close-out is assumed and the re-valuation </w:t>
      </w:r>
      <w:r w:rsidR="0024674E">
        <w:rPr>
          <w:rFonts w:asciiTheme="minorHAnsi" w:eastAsia="MS Mincho" w:hAnsiTheme="minorHAnsi" w:cstheme="minorHAnsi"/>
          <w:sz w:val="20"/>
          <w:lang w:eastAsia="ja-JP"/>
        </w:rPr>
        <w:t>at the WWR P</w:t>
      </w:r>
      <w:r w:rsidRPr="001B6221">
        <w:rPr>
          <w:rFonts w:asciiTheme="minorHAnsi" w:eastAsia="MS Mincho" w:hAnsiTheme="minorHAnsi" w:cstheme="minorHAnsi"/>
          <w:sz w:val="20"/>
          <w:lang w:eastAsia="ja-JP"/>
        </w:rPr>
        <w:t xml:space="preserve">rice </w:t>
      </w:r>
      <w:r w:rsidR="0024674E">
        <w:rPr>
          <w:rFonts w:asciiTheme="minorHAnsi" w:eastAsia="MS Mincho" w:hAnsiTheme="minorHAnsi" w:cstheme="minorHAnsi"/>
          <w:sz w:val="20"/>
          <w:lang w:eastAsia="ja-JP"/>
        </w:rPr>
        <w:t>S</w:t>
      </w:r>
      <w:r w:rsidRPr="001B6221">
        <w:rPr>
          <w:rFonts w:asciiTheme="minorHAnsi" w:eastAsia="MS Mincho" w:hAnsiTheme="minorHAnsi" w:cstheme="minorHAnsi"/>
          <w:sz w:val="20"/>
          <w:lang w:eastAsia="ja-JP"/>
        </w:rPr>
        <w:t>cenario is made using the base methodology.</w:t>
      </w:r>
    </w:p>
    <w:p w14:paraId="46C15C90" w14:textId="6E374A87" w:rsidR="006C487E" w:rsidRPr="007F03F3" w:rsidRDefault="00663B25" w:rsidP="00663B25">
      <w:pPr>
        <w:spacing w:line="240" w:lineRule="auto"/>
        <w:rPr>
          <w:rFonts w:asciiTheme="minorHAnsi" w:eastAsia="MS Mincho" w:hAnsiTheme="minorHAnsi" w:cstheme="minorHAnsi"/>
          <w:b/>
          <w:sz w:val="20"/>
          <w:lang w:eastAsia="ja-JP"/>
        </w:rPr>
      </w:pPr>
      <w:r w:rsidRPr="007F03F3">
        <w:rPr>
          <w:rFonts w:asciiTheme="minorHAnsi" w:eastAsia="MS Mincho" w:hAnsiTheme="minorHAnsi" w:cstheme="minorHAnsi"/>
          <w:b/>
          <w:sz w:val="20"/>
          <w:lang w:eastAsia="ja-JP"/>
        </w:rPr>
        <w:t>Step 1.a.i – WWR Margin Add-on distribution</w:t>
      </w:r>
    </w:p>
    <w:p w14:paraId="6EEFDF0D" w14:textId="7B9C4B17" w:rsidR="00663B25" w:rsidRPr="00663B25" w:rsidRDefault="0024674E" w:rsidP="00663B25">
      <w:pPr>
        <w:spacing w:line="240" w:lineRule="auto"/>
        <w:rPr>
          <w:rFonts w:asciiTheme="minorHAnsi" w:eastAsia="MS Mincho" w:hAnsiTheme="minorHAnsi" w:cstheme="minorHAnsi"/>
          <w:sz w:val="20"/>
          <w:lang w:eastAsia="ja-JP"/>
        </w:rPr>
      </w:pPr>
      <w:r>
        <w:rPr>
          <w:rFonts w:asciiTheme="minorHAnsi" w:eastAsia="MS Mincho" w:hAnsiTheme="minorHAnsi" w:cstheme="minorHAnsi"/>
          <w:sz w:val="20"/>
          <w:lang w:eastAsia="ja-JP"/>
        </w:rPr>
        <w:t>The WWR M</w:t>
      </w:r>
      <w:r w:rsidR="00663B25" w:rsidRPr="00663B25">
        <w:rPr>
          <w:rFonts w:asciiTheme="minorHAnsi" w:eastAsia="MS Mincho" w:hAnsiTheme="minorHAnsi" w:cstheme="minorHAnsi"/>
          <w:sz w:val="20"/>
          <w:lang w:eastAsia="ja-JP"/>
        </w:rPr>
        <w:t xml:space="preserve">argin </w:t>
      </w:r>
      <w:r>
        <w:rPr>
          <w:rFonts w:asciiTheme="minorHAnsi" w:eastAsia="MS Mincho" w:hAnsiTheme="minorHAnsi" w:cstheme="minorHAnsi"/>
          <w:sz w:val="20"/>
          <w:lang w:eastAsia="ja-JP"/>
        </w:rPr>
        <w:t>A</w:t>
      </w:r>
      <w:r w:rsidR="00663B25" w:rsidRPr="00663B25">
        <w:rPr>
          <w:rFonts w:asciiTheme="minorHAnsi" w:eastAsia="MS Mincho" w:hAnsiTheme="minorHAnsi" w:cstheme="minorHAnsi"/>
          <w:sz w:val="20"/>
          <w:lang w:eastAsia="ja-JP"/>
        </w:rPr>
        <w:t xml:space="preserve">dd-on calculated in step 1.a.i. </w:t>
      </w:r>
      <w:proofErr w:type="gramStart"/>
      <w:r w:rsidR="00663B25" w:rsidRPr="00663B25">
        <w:rPr>
          <w:rFonts w:asciiTheme="minorHAnsi" w:eastAsia="MS Mincho" w:hAnsiTheme="minorHAnsi" w:cstheme="minorHAnsi"/>
          <w:sz w:val="20"/>
          <w:lang w:eastAsia="ja-JP"/>
        </w:rPr>
        <w:t>is  distributed</w:t>
      </w:r>
      <w:proofErr w:type="gramEnd"/>
      <w:r w:rsidR="00663B25" w:rsidRPr="00663B25">
        <w:rPr>
          <w:rFonts w:asciiTheme="minorHAnsi" w:eastAsia="MS Mincho" w:hAnsiTheme="minorHAnsi" w:cstheme="minorHAnsi"/>
          <w:sz w:val="20"/>
          <w:lang w:eastAsia="ja-JP"/>
        </w:rPr>
        <w:t xml:space="preserve"> pro-rata back to the contract level positions based on the risk margin (IM) in the WWR </w:t>
      </w:r>
      <w:r w:rsidR="00F1136C">
        <w:rPr>
          <w:rFonts w:asciiTheme="minorHAnsi" w:eastAsia="MS Mincho" w:hAnsiTheme="minorHAnsi" w:cstheme="minorHAnsi"/>
          <w:sz w:val="20"/>
          <w:lang w:eastAsia="ja-JP"/>
        </w:rPr>
        <w:t>P</w:t>
      </w:r>
      <w:r w:rsidR="00663B25" w:rsidRPr="00663B25">
        <w:rPr>
          <w:rFonts w:asciiTheme="minorHAnsi" w:eastAsia="MS Mincho" w:hAnsiTheme="minorHAnsi" w:cstheme="minorHAnsi"/>
          <w:sz w:val="20"/>
          <w:lang w:eastAsia="ja-JP"/>
        </w:rPr>
        <w:t xml:space="preserve">rice </w:t>
      </w:r>
      <w:r w:rsidR="00F1136C">
        <w:rPr>
          <w:rFonts w:asciiTheme="minorHAnsi" w:eastAsia="MS Mincho" w:hAnsiTheme="minorHAnsi" w:cstheme="minorHAnsi"/>
          <w:sz w:val="20"/>
          <w:lang w:eastAsia="ja-JP"/>
        </w:rPr>
        <w:t>S</w:t>
      </w:r>
      <w:r w:rsidR="00663B25" w:rsidRPr="00663B25">
        <w:rPr>
          <w:rFonts w:asciiTheme="minorHAnsi" w:eastAsia="MS Mincho" w:hAnsiTheme="minorHAnsi" w:cstheme="minorHAnsi"/>
          <w:sz w:val="20"/>
          <w:lang w:eastAsia="ja-JP"/>
        </w:rPr>
        <w:t xml:space="preserve">cenario. The sum of the WWR </w:t>
      </w:r>
      <w:r>
        <w:rPr>
          <w:rFonts w:asciiTheme="minorHAnsi" w:eastAsia="MS Mincho" w:hAnsiTheme="minorHAnsi" w:cstheme="minorHAnsi"/>
          <w:sz w:val="20"/>
          <w:lang w:eastAsia="ja-JP"/>
        </w:rPr>
        <w:t>M</w:t>
      </w:r>
      <w:r w:rsidR="00663B25" w:rsidRPr="00663B25">
        <w:rPr>
          <w:rFonts w:asciiTheme="minorHAnsi" w:eastAsia="MS Mincho" w:hAnsiTheme="minorHAnsi" w:cstheme="minorHAnsi"/>
          <w:sz w:val="20"/>
          <w:lang w:eastAsia="ja-JP"/>
        </w:rPr>
        <w:t xml:space="preserve">argin </w:t>
      </w:r>
      <w:r>
        <w:rPr>
          <w:rFonts w:asciiTheme="minorHAnsi" w:eastAsia="MS Mincho" w:hAnsiTheme="minorHAnsi" w:cstheme="minorHAnsi"/>
          <w:sz w:val="20"/>
          <w:lang w:eastAsia="ja-JP"/>
        </w:rPr>
        <w:t>A</w:t>
      </w:r>
      <w:r w:rsidR="00663B25" w:rsidRPr="00663B25">
        <w:rPr>
          <w:rFonts w:asciiTheme="minorHAnsi" w:eastAsia="MS Mincho" w:hAnsiTheme="minorHAnsi" w:cstheme="minorHAnsi"/>
          <w:sz w:val="20"/>
          <w:lang w:eastAsia="ja-JP"/>
        </w:rPr>
        <w:t>dd-on for the contract level posit</w:t>
      </w:r>
      <w:r>
        <w:rPr>
          <w:rFonts w:asciiTheme="minorHAnsi" w:eastAsia="MS Mincho" w:hAnsiTheme="minorHAnsi" w:cstheme="minorHAnsi"/>
          <w:sz w:val="20"/>
          <w:lang w:eastAsia="ja-JP"/>
        </w:rPr>
        <w:t>ions thus equals the total WWR M</w:t>
      </w:r>
      <w:r w:rsidR="00663B25" w:rsidRPr="00663B25">
        <w:rPr>
          <w:rFonts w:asciiTheme="minorHAnsi" w:eastAsia="MS Mincho" w:hAnsiTheme="minorHAnsi" w:cstheme="minorHAnsi"/>
          <w:sz w:val="20"/>
          <w:lang w:eastAsia="ja-JP"/>
        </w:rPr>
        <w:t xml:space="preserve">argin </w:t>
      </w:r>
      <w:r>
        <w:rPr>
          <w:rFonts w:asciiTheme="minorHAnsi" w:eastAsia="MS Mincho" w:hAnsiTheme="minorHAnsi" w:cstheme="minorHAnsi"/>
          <w:sz w:val="20"/>
          <w:lang w:eastAsia="ja-JP"/>
        </w:rPr>
        <w:t>A</w:t>
      </w:r>
      <w:r w:rsidR="00663B25" w:rsidRPr="00663B25">
        <w:rPr>
          <w:rFonts w:asciiTheme="minorHAnsi" w:eastAsia="MS Mincho" w:hAnsiTheme="minorHAnsi" w:cstheme="minorHAnsi"/>
          <w:sz w:val="20"/>
          <w:lang w:eastAsia="ja-JP"/>
        </w:rPr>
        <w:t>dd-on for an MCA. Any contract level position having a positive risk margin (i.e. making a gain) in the WWR price</w:t>
      </w:r>
      <w:r>
        <w:rPr>
          <w:rFonts w:asciiTheme="minorHAnsi" w:eastAsia="MS Mincho" w:hAnsiTheme="minorHAnsi" w:cstheme="minorHAnsi"/>
          <w:sz w:val="20"/>
          <w:lang w:eastAsia="ja-JP"/>
        </w:rPr>
        <w:t xml:space="preserve"> scenario will not get any WWR M</w:t>
      </w:r>
      <w:r w:rsidR="00663B25" w:rsidRPr="00663B25">
        <w:rPr>
          <w:rFonts w:asciiTheme="minorHAnsi" w:eastAsia="MS Mincho" w:hAnsiTheme="minorHAnsi" w:cstheme="minorHAnsi"/>
          <w:sz w:val="20"/>
          <w:lang w:eastAsia="ja-JP"/>
        </w:rPr>
        <w:t xml:space="preserve">argin </w:t>
      </w:r>
      <w:r>
        <w:rPr>
          <w:rFonts w:asciiTheme="minorHAnsi" w:eastAsia="MS Mincho" w:hAnsiTheme="minorHAnsi" w:cstheme="minorHAnsi"/>
          <w:sz w:val="20"/>
          <w:lang w:eastAsia="ja-JP"/>
        </w:rPr>
        <w:t>A</w:t>
      </w:r>
      <w:r w:rsidR="00663B25" w:rsidRPr="00663B25">
        <w:rPr>
          <w:rFonts w:asciiTheme="minorHAnsi" w:eastAsia="MS Mincho" w:hAnsiTheme="minorHAnsi" w:cstheme="minorHAnsi"/>
          <w:sz w:val="20"/>
          <w:lang w:eastAsia="ja-JP"/>
        </w:rPr>
        <w:t>dd-on</w:t>
      </w:r>
      <w:r>
        <w:rPr>
          <w:rFonts w:asciiTheme="minorHAnsi" w:eastAsia="MS Mincho" w:hAnsiTheme="minorHAnsi" w:cstheme="minorHAnsi"/>
          <w:sz w:val="20"/>
          <w:lang w:eastAsia="ja-JP"/>
        </w:rPr>
        <w:t xml:space="preserve"> distributed to it</w:t>
      </w:r>
      <w:r w:rsidR="00663B25" w:rsidRPr="00663B25">
        <w:rPr>
          <w:rFonts w:asciiTheme="minorHAnsi" w:eastAsia="MS Mincho" w:hAnsiTheme="minorHAnsi" w:cstheme="minorHAnsi"/>
          <w:sz w:val="20"/>
          <w:lang w:eastAsia="ja-JP"/>
        </w:rPr>
        <w:t xml:space="preserve">. An example illustrating the distribution methodology is provided </w:t>
      </w:r>
      <w:r w:rsidR="00663B25" w:rsidRPr="002407DA">
        <w:rPr>
          <w:rFonts w:asciiTheme="minorHAnsi" w:eastAsia="MS Mincho" w:hAnsiTheme="minorHAnsi" w:cstheme="minorHAnsi"/>
          <w:sz w:val="20"/>
          <w:lang w:eastAsia="ja-JP"/>
        </w:rPr>
        <w:t>below</w:t>
      </w:r>
      <w:r w:rsidR="00663B25" w:rsidRPr="00663B25">
        <w:rPr>
          <w:rFonts w:asciiTheme="minorHAnsi" w:eastAsia="MS Mincho" w:hAnsiTheme="minorHAnsi" w:cstheme="minorHAnsi"/>
          <w:sz w:val="20"/>
          <w:lang w:eastAsia="ja-JP"/>
        </w:rPr>
        <w:t>.</w:t>
      </w:r>
    </w:p>
    <w:p w14:paraId="1BCF5039" w14:textId="77777777" w:rsidR="00EC023E" w:rsidRPr="00EC023E" w:rsidRDefault="00EC023E" w:rsidP="00596FA4">
      <w:pPr>
        <w:pStyle w:val="nasdaqsubhead"/>
        <w:ind w:left="0"/>
        <w:rPr>
          <w:rFonts w:asciiTheme="minorHAnsi" w:eastAsiaTheme="minorEastAsia" w:hAnsiTheme="minorHAnsi" w:cstheme="minorBidi"/>
          <w:caps w:val="0"/>
          <w:color w:val="auto"/>
          <w:spacing w:val="0"/>
          <w:sz w:val="20"/>
          <w:lang w:eastAsia="zh-CN"/>
        </w:rPr>
      </w:pPr>
      <w:r w:rsidRPr="00EC023E">
        <w:rPr>
          <w:rFonts w:asciiTheme="minorHAnsi" w:eastAsiaTheme="minorEastAsia" w:hAnsiTheme="minorHAnsi" w:cstheme="minorBidi"/>
          <w:caps w:val="0"/>
          <w:color w:val="auto"/>
          <w:spacing w:val="0"/>
          <w:sz w:val="20"/>
          <w:lang w:eastAsia="zh-CN"/>
        </w:rPr>
        <w:t>Additional considerations</w:t>
      </w:r>
    </w:p>
    <w:p w14:paraId="5C875F22" w14:textId="1A6D7260" w:rsidR="007427B8" w:rsidRDefault="00EC023E" w:rsidP="00596FA4">
      <w:pPr>
        <w:pStyle w:val="nasdaqsubhead"/>
        <w:ind w:left="0"/>
        <w:rPr>
          <w:rFonts w:asciiTheme="minorHAnsi" w:eastAsiaTheme="minorEastAsia" w:hAnsiTheme="minorHAnsi" w:cstheme="minorBidi"/>
          <w:b w:val="0"/>
          <w:caps w:val="0"/>
          <w:color w:val="auto"/>
          <w:spacing w:val="0"/>
          <w:sz w:val="20"/>
          <w:lang w:eastAsia="zh-CN"/>
        </w:rPr>
      </w:pPr>
      <w:r>
        <w:rPr>
          <w:rFonts w:asciiTheme="minorHAnsi" w:eastAsiaTheme="minorEastAsia" w:hAnsiTheme="minorHAnsi" w:cstheme="minorBidi"/>
          <w:b w:val="0"/>
          <w:caps w:val="0"/>
          <w:color w:val="auto"/>
          <w:spacing w:val="0"/>
          <w:sz w:val="20"/>
          <w:lang w:eastAsia="zh-CN"/>
        </w:rPr>
        <w:t>I</w:t>
      </w:r>
      <w:r w:rsidR="007F03F3">
        <w:rPr>
          <w:rFonts w:asciiTheme="minorHAnsi" w:eastAsiaTheme="minorEastAsia" w:hAnsiTheme="minorHAnsi" w:cstheme="minorBidi"/>
          <w:b w:val="0"/>
          <w:caps w:val="0"/>
          <w:color w:val="auto"/>
          <w:spacing w:val="0"/>
          <w:sz w:val="20"/>
          <w:lang w:eastAsia="zh-CN"/>
        </w:rPr>
        <w:t>f a position is applicable for</w:t>
      </w:r>
      <w:r w:rsidR="0024674E" w:rsidRPr="0024674E">
        <w:rPr>
          <w:rFonts w:asciiTheme="minorHAnsi" w:eastAsiaTheme="minorEastAsia" w:hAnsiTheme="minorHAnsi" w:cstheme="minorBidi"/>
          <w:b w:val="0"/>
          <w:caps w:val="0"/>
          <w:color w:val="auto"/>
          <w:spacing w:val="0"/>
          <w:sz w:val="20"/>
          <w:lang w:eastAsia="zh-CN"/>
        </w:rPr>
        <w:t xml:space="preserve"> </w:t>
      </w:r>
      <w:r w:rsidR="0024674E">
        <w:rPr>
          <w:rFonts w:asciiTheme="minorHAnsi" w:eastAsiaTheme="minorEastAsia" w:hAnsiTheme="minorHAnsi" w:cstheme="minorBidi"/>
          <w:b w:val="0"/>
          <w:caps w:val="0"/>
          <w:color w:val="auto"/>
          <w:spacing w:val="0"/>
          <w:sz w:val="20"/>
          <w:lang w:eastAsia="zh-CN"/>
        </w:rPr>
        <w:t>both</w:t>
      </w:r>
      <w:r w:rsidR="007F03F3">
        <w:rPr>
          <w:rFonts w:asciiTheme="minorHAnsi" w:eastAsiaTheme="minorEastAsia" w:hAnsiTheme="minorHAnsi" w:cstheme="minorBidi"/>
          <w:b w:val="0"/>
          <w:caps w:val="0"/>
          <w:color w:val="auto"/>
          <w:spacing w:val="0"/>
          <w:sz w:val="20"/>
          <w:lang w:eastAsia="zh-CN"/>
        </w:rPr>
        <w:t xml:space="preserve"> Concentration Margin Add-on </w:t>
      </w:r>
      <w:r>
        <w:rPr>
          <w:rFonts w:asciiTheme="minorHAnsi" w:eastAsiaTheme="minorEastAsia" w:hAnsiTheme="minorHAnsi" w:cstheme="minorBidi"/>
          <w:b w:val="0"/>
          <w:caps w:val="0"/>
          <w:color w:val="auto"/>
          <w:spacing w:val="0"/>
          <w:sz w:val="20"/>
          <w:lang w:eastAsia="zh-CN"/>
        </w:rPr>
        <w:t xml:space="preserve">and </w:t>
      </w:r>
      <w:r w:rsidR="007F03F3">
        <w:rPr>
          <w:rFonts w:asciiTheme="minorHAnsi" w:eastAsiaTheme="minorEastAsia" w:hAnsiTheme="minorHAnsi" w:cstheme="minorBidi"/>
          <w:b w:val="0"/>
          <w:caps w:val="0"/>
          <w:color w:val="auto"/>
          <w:spacing w:val="0"/>
          <w:sz w:val="20"/>
          <w:lang w:eastAsia="zh-CN"/>
        </w:rPr>
        <w:t xml:space="preserve">WWR Margin </w:t>
      </w:r>
      <w:proofErr w:type="gramStart"/>
      <w:r w:rsidR="007F03F3">
        <w:rPr>
          <w:rFonts w:asciiTheme="minorHAnsi" w:eastAsiaTheme="minorEastAsia" w:hAnsiTheme="minorHAnsi" w:cstheme="minorBidi"/>
          <w:b w:val="0"/>
          <w:caps w:val="0"/>
          <w:color w:val="auto"/>
          <w:spacing w:val="0"/>
          <w:sz w:val="20"/>
          <w:lang w:eastAsia="zh-CN"/>
        </w:rPr>
        <w:t>Add-on</w:t>
      </w:r>
      <w:proofErr w:type="gramEnd"/>
      <w:r w:rsidR="007F03F3">
        <w:rPr>
          <w:rFonts w:asciiTheme="minorHAnsi" w:eastAsiaTheme="minorEastAsia" w:hAnsiTheme="minorHAnsi" w:cstheme="minorBidi"/>
          <w:b w:val="0"/>
          <w:caps w:val="0"/>
          <w:color w:val="auto"/>
          <w:spacing w:val="0"/>
          <w:sz w:val="20"/>
          <w:lang w:eastAsia="zh-CN"/>
        </w:rPr>
        <w:t xml:space="preserve"> </w:t>
      </w:r>
      <w:r w:rsidR="0024674E">
        <w:rPr>
          <w:rFonts w:asciiTheme="minorHAnsi" w:eastAsiaTheme="minorEastAsia" w:hAnsiTheme="minorHAnsi" w:cstheme="minorBidi"/>
          <w:b w:val="0"/>
          <w:caps w:val="0"/>
          <w:color w:val="auto"/>
          <w:spacing w:val="0"/>
          <w:sz w:val="20"/>
          <w:lang w:eastAsia="zh-CN"/>
        </w:rPr>
        <w:t xml:space="preserve">then </w:t>
      </w:r>
      <w:r w:rsidR="007F03F3">
        <w:rPr>
          <w:rFonts w:asciiTheme="minorHAnsi" w:eastAsiaTheme="minorEastAsia" w:hAnsiTheme="minorHAnsi" w:cstheme="minorBidi"/>
          <w:b w:val="0"/>
          <w:caps w:val="0"/>
          <w:color w:val="auto"/>
          <w:spacing w:val="0"/>
          <w:sz w:val="20"/>
          <w:lang w:eastAsia="zh-CN"/>
        </w:rPr>
        <w:t xml:space="preserve">only the higher </w:t>
      </w:r>
      <w:r>
        <w:rPr>
          <w:rFonts w:asciiTheme="minorHAnsi" w:eastAsiaTheme="minorEastAsia" w:hAnsiTheme="minorHAnsi" w:cstheme="minorBidi"/>
          <w:b w:val="0"/>
          <w:caps w:val="0"/>
          <w:color w:val="auto"/>
          <w:spacing w:val="0"/>
          <w:sz w:val="20"/>
          <w:lang w:eastAsia="zh-CN"/>
        </w:rPr>
        <w:t xml:space="preserve">(most negative) </w:t>
      </w:r>
      <w:r w:rsidR="007F03F3">
        <w:rPr>
          <w:rFonts w:asciiTheme="minorHAnsi" w:eastAsiaTheme="minorEastAsia" w:hAnsiTheme="minorHAnsi" w:cstheme="minorBidi"/>
          <w:b w:val="0"/>
          <w:caps w:val="0"/>
          <w:color w:val="auto"/>
          <w:spacing w:val="0"/>
          <w:sz w:val="20"/>
          <w:lang w:eastAsia="zh-CN"/>
        </w:rPr>
        <w:t>of the two will apply.</w:t>
      </w:r>
    </w:p>
    <w:p w14:paraId="5B4EDA01" w14:textId="7B0E42C2" w:rsidR="00EC023E" w:rsidRDefault="00EC023E" w:rsidP="00596FA4">
      <w:pPr>
        <w:pStyle w:val="nasdaqsubhead"/>
        <w:ind w:left="0"/>
        <w:rPr>
          <w:rFonts w:asciiTheme="minorHAnsi" w:eastAsiaTheme="minorEastAsia" w:hAnsiTheme="minorHAnsi" w:cstheme="minorBidi"/>
          <w:b w:val="0"/>
          <w:caps w:val="0"/>
          <w:color w:val="auto"/>
          <w:spacing w:val="0"/>
          <w:sz w:val="20"/>
          <w:lang w:eastAsia="zh-CN"/>
        </w:rPr>
      </w:pPr>
    </w:p>
    <w:p w14:paraId="6D2409FB" w14:textId="7403B91B" w:rsidR="00EC023E" w:rsidRDefault="00EC023E" w:rsidP="00596FA4">
      <w:pPr>
        <w:pStyle w:val="nasdaqsubhead"/>
        <w:ind w:left="0"/>
        <w:rPr>
          <w:rFonts w:asciiTheme="minorHAnsi" w:eastAsiaTheme="minorEastAsia" w:hAnsiTheme="minorHAnsi" w:cstheme="minorBidi"/>
          <w:b w:val="0"/>
          <w:caps w:val="0"/>
          <w:color w:val="auto"/>
          <w:spacing w:val="0"/>
          <w:sz w:val="20"/>
          <w:lang w:eastAsia="zh-CN"/>
        </w:rPr>
      </w:pPr>
      <w:r>
        <w:rPr>
          <w:rFonts w:asciiTheme="minorHAnsi" w:eastAsiaTheme="minorEastAsia" w:hAnsiTheme="minorHAnsi" w:cstheme="minorBidi"/>
          <w:b w:val="0"/>
          <w:caps w:val="0"/>
          <w:color w:val="auto"/>
          <w:spacing w:val="0"/>
          <w:sz w:val="20"/>
          <w:lang w:eastAsia="zh-CN"/>
        </w:rPr>
        <w:t xml:space="preserve">For CBFs the WWR Price Scenario will be determined through re-pricing the basket with the applicable basket constituent’s price set to 0. </w:t>
      </w:r>
    </w:p>
    <w:p w14:paraId="5911FC49" w14:textId="77777777" w:rsidR="00D425C0" w:rsidRDefault="00D425C0" w:rsidP="00596FA4">
      <w:pPr>
        <w:pStyle w:val="nasdaqsubhead"/>
        <w:ind w:left="0"/>
        <w:rPr>
          <w:rFonts w:asciiTheme="minorHAnsi" w:eastAsiaTheme="minorEastAsia" w:hAnsiTheme="minorHAnsi" w:cstheme="minorBidi"/>
          <w:b w:val="0"/>
          <w:caps w:val="0"/>
          <w:color w:val="auto"/>
          <w:spacing w:val="0"/>
          <w:sz w:val="20"/>
          <w:lang w:eastAsia="zh-CN"/>
        </w:rPr>
      </w:pPr>
    </w:p>
    <w:p w14:paraId="65271B87" w14:textId="3247D42D" w:rsidR="00C81E83" w:rsidRDefault="00E62AEC" w:rsidP="002239E8">
      <w:pPr>
        <w:pStyle w:val="nasdaqsubhead"/>
        <w:ind w:left="0"/>
      </w:pPr>
      <w:r w:rsidRPr="002239E8">
        <w:t>Application</w:t>
      </w:r>
      <w:r>
        <w:t xml:space="preserve"> of</w:t>
      </w:r>
      <w:r w:rsidR="00C81E83">
        <w:t xml:space="preserve"> </w:t>
      </w:r>
      <w:r w:rsidR="009133C6">
        <w:t>WWR MArgin Add-on</w:t>
      </w:r>
    </w:p>
    <w:p w14:paraId="143F6F04" w14:textId="52224789" w:rsidR="0024674E" w:rsidRDefault="0024674E" w:rsidP="00110B78">
      <w:pPr>
        <w:pStyle w:val="BodyText"/>
        <w:rPr>
          <w:rFonts w:asciiTheme="minorHAnsi" w:hAnsiTheme="minorHAnsi" w:cstheme="minorHAnsi"/>
          <w:sz w:val="20"/>
          <w:szCs w:val="20"/>
          <w:lang w:val="en-GB"/>
        </w:rPr>
      </w:pPr>
      <w:r>
        <w:rPr>
          <w:rFonts w:asciiTheme="minorHAnsi" w:hAnsiTheme="minorHAnsi" w:cstheme="minorHAnsi"/>
          <w:sz w:val="20"/>
          <w:szCs w:val="20"/>
          <w:lang w:val="en-GB"/>
        </w:rPr>
        <w:t>WWR Margin Add-on is included in all margin calculations (both Intra-day and End-of-day) and in margin simulations.</w:t>
      </w:r>
    </w:p>
    <w:p w14:paraId="5725EDC7" w14:textId="73C97FF9" w:rsidR="009133C6" w:rsidRDefault="009133C6" w:rsidP="00110B78">
      <w:pPr>
        <w:pStyle w:val="BodyText"/>
        <w:rPr>
          <w:rFonts w:asciiTheme="minorHAnsi" w:hAnsiTheme="minorHAnsi" w:cstheme="minorHAnsi"/>
          <w:sz w:val="20"/>
          <w:szCs w:val="20"/>
          <w:lang w:val="en-GB"/>
        </w:rPr>
      </w:pPr>
      <w:r>
        <w:rPr>
          <w:rFonts w:asciiTheme="minorHAnsi" w:hAnsiTheme="minorHAnsi" w:cstheme="minorHAnsi"/>
          <w:sz w:val="20"/>
          <w:szCs w:val="20"/>
          <w:lang w:val="en-GB"/>
        </w:rPr>
        <w:lastRenderedPageBreak/>
        <w:t>T</w:t>
      </w:r>
      <w:r w:rsidRPr="009133C6">
        <w:rPr>
          <w:rFonts w:asciiTheme="minorHAnsi" w:hAnsiTheme="minorHAnsi" w:cstheme="minorHAnsi"/>
          <w:sz w:val="20"/>
          <w:szCs w:val="20"/>
          <w:lang w:val="en-GB"/>
        </w:rPr>
        <w:t xml:space="preserve">he WWR </w:t>
      </w:r>
      <w:r w:rsidR="00D425C0">
        <w:rPr>
          <w:rFonts w:asciiTheme="minorHAnsi" w:hAnsiTheme="minorHAnsi" w:cstheme="minorHAnsi"/>
          <w:sz w:val="20"/>
          <w:szCs w:val="20"/>
          <w:lang w:val="en-GB"/>
        </w:rPr>
        <w:t>M</w:t>
      </w:r>
      <w:r w:rsidRPr="009133C6">
        <w:rPr>
          <w:rFonts w:asciiTheme="minorHAnsi" w:hAnsiTheme="minorHAnsi" w:cstheme="minorHAnsi"/>
          <w:sz w:val="20"/>
          <w:szCs w:val="20"/>
          <w:lang w:val="en-GB"/>
        </w:rPr>
        <w:t xml:space="preserve">argin </w:t>
      </w:r>
      <w:r w:rsidR="00D425C0">
        <w:rPr>
          <w:rFonts w:asciiTheme="minorHAnsi" w:hAnsiTheme="minorHAnsi" w:cstheme="minorHAnsi"/>
          <w:sz w:val="20"/>
          <w:szCs w:val="20"/>
          <w:lang w:val="en-GB"/>
        </w:rPr>
        <w:t>A</w:t>
      </w:r>
      <w:r w:rsidRPr="009133C6">
        <w:rPr>
          <w:rFonts w:asciiTheme="minorHAnsi" w:hAnsiTheme="minorHAnsi" w:cstheme="minorHAnsi"/>
          <w:sz w:val="20"/>
          <w:szCs w:val="20"/>
          <w:lang w:val="en-GB"/>
        </w:rPr>
        <w:t>dd-on is determined per</w:t>
      </w:r>
      <w:r>
        <w:rPr>
          <w:rFonts w:asciiTheme="minorHAnsi" w:hAnsiTheme="minorHAnsi" w:cstheme="minorHAnsi"/>
          <w:sz w:val="20"/>
          <w:szCs w:val="20"/>
          <w:lang w:val="en-GB"/>
        </w:rPr>
        <w:t xml:space="preserve"> MCA and presented </w:t>
      </w:r>
      <w:r w:rsidR="00BC4D7F">
        <w:rPr>
          <w:rFonts w:asciiTheme="minorHAnsi" w:hAnsiTheme="minorHAnsi" w:cstheme="minorHAnsi"/>
          <w:sz w:val="20"/>
          <w:szCs w:val="20"/>
          <w:lang w:val="en-GB"/>
        </w:rPr>
        <w:t xml:space="preserve">per MCA and instrument level position </w:t>
      </w:r>
      <w:r>
        <w:rPr>
          <w:rFonts w:asciiTheme="minorHAnsi" w:hAnsiTheme="minorHAnsi" w:cstheme="minorHAnsi"/>
          <w:sz w:val="20"/>
          <w:szCs w:val="20"/>
          <w:lang w:val="en-GB"/>
        </w:rPr>
        <w:t xml:space="preserve">in the </w:t>
      </w:r>
      <w:r w:rsidR="00D425C0">
        <w:rPr>
          <w:rFonts w:asciiTheme="minorHAnsi" w:hAnsiTheme="minorHAnsi" w:cstheme="minorHAnsi"/>
          <w:sz w:val="20"/>
          <w:szCs w:val="20"/>
          <w:lang w:val="en-GB"/>
        </w:rPr>
        <w:t xml:space="preserve">Positions report. The WWR margin add-on is included in the Required Initial Margin, Payment/Delivery Margin (if WWR is applicable for a delivery position), Naked Margin and Required Margin values. The WWR Margin Add-on is separately reported for information in the new Wrong Way Risk Add-on column. </w:t>
      </w:r>
    </w:p>
    <w:p w14:paraId="689771DC" w14:textId="16CFE57F" w:rsidR="00EC023E" w:rsidRPr="00EC023E" w:rsidRDefault="00EC023E" w:rsidP="00110B78">
      <w:pPr>
        <w:pStyle w:val="BodyText"/>
        <w:rPr>
          <w:rFonts w:asciiTheme="minorHAnsi" w:hAnsiTheme="minorHAnsi" w:cstheme="minorHAnsi"/>
          <w:b/>
          <w:sz w:val="20"/>
          <w:szCs w:val="20"/>
          <w:lang w:val="en-GB"/>
        </w:rPr>
      </w:pPr>
      <w:r w:rsidRPr="00EC023E">
        <w:rPr>
          <w:rFonts w:asciiTheme="minorHAnsi" w:hAnsiTheme="minorHAnsi" w:cstheme="minorHAnsi"/>
          <w:b/>
          <w:sz w:val="20"/>
          <w:szCs w:val="20"/>
          <w:lang w:val="en-GB"/>
        </w:rPr>
        <w:t>Single position example</w:t>
      </w:r>
    </w:p>
    <w:p w14:paraId="0738F32E" w14:textId="33A55415" w:rsidR="00D425C0" w:rsidRDefault="00D425C0" w:rsidP="00110B78">
      <w:pPr>
        <w:pStyle w:val="BodyText"/>
        <w:rPr>
          <w:rFonts w:asciiTheme="minorHAnsi" w:hAnsiTheme="minorHAnsi" w:cstheme="minorHAnsi"/>
          <w:sz w:val="20"/>
          <w:szCs w:val="20"/>
          <w:lang w:val="en-GB"/>
        </w:rPr>
      </w:pPr>
      <w:r>
        <w:rPr>
          <w:rFonts w:asciiTheme="minorHAnsi" w:hAnsiTheme="minorHAnsi" w:cstheme="minorHAnsi"/>
          <w:sz w:val="20"/>
          <w:szCs w:val="20"/>
          <w:lang w:val="en-GB"/>
        </w:rPr>
        <w:t xml:space="preserve">The below example on two fictive accounts SE A 1 (long position in own issue stock through a forward trade) and SE A 2 (short position in own issue stock through a forward trade) shows that a WWR Margin Add-on is charged for account SE A 1. </w:t>
      </w:r>
      <w:r w:rsidR="00EC023E">
        <w:rPr>
          <w:rFonts w:asciiTheme="minorHAnsi" w:hAnsiTheme="minorHAnsi" w:cstheme="minorHAnsi"/>
          <w:sz w:val="20"/>
          <w:szCs w:val="20"/>
          <w:lang w:val="en-GB"/>
        </w:rPr>
        <w:t>The WWR Margin Add-on is separately reported for information in the Wrong Way Risk Add-on column.</w:t>
      </w:r>
    </w:p>
    <w:p w14:paraId="5D5EA5F4" w14:textId="3A6DAEE0" w:rsidR="00D425C0" w:rsidRDefault="00D425C0" w:rsidP="00110B78">
      <w:pPr>
        <w:pStyle w:val="BodyText"/>
        <w:rPr>
          <w:rFonts w:asciiTheme="minorHAnsi" w:hAnsiTheme="minorHAnsi" w:cstheme="minorHAnsi"/>
          <w:sz w:val="20"/>
          <w:szCs w:val="20"/>
          <w:lang w:val="en-GB"/>
        </w:rPr>
      </w:pPr>
      <w:r>
        <w:rPr>
          <w:noProof/>
          <w:lang w:val="sv-SE" w:eastAsia="sv-SE"/>
        </w:rPr>
        <w:drawing>
          <wp:inline distT="0" distB="0" distL="0" distR="0" wp14:anchorId="53935AE8" wp14:editId="1F93ABEE">
            <wp:extent cx="5972810" cy="17868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2810" cy="1786890"/>
                    </a:xfrm>
                    <a:prstGeom prst="rect">
                      <a:avLst/>
                    </a:prstGeom>
                  </pic:spPr>
                </pic:pic>
              </a:graphicData>
            </a:graphic>
          </wp:inline>
        </w:drawing>
      </w:r>
    </w:p>
    <w:p w14:paraId="1CDA9AD9" w14:textId="01DFB3B6" w:rsidR="00F1136C" w:rsidRDefault="00F1136C" w:rsidP="00110B78">
      <w:pPr>
        <w:pStyle w:val="BodyText"/>
        <w:rPr>
          <w:rFonts w:asciiTheme="minorHAnsi" w:hAnsiTheme="minorHAnsi" w:cstheme="minorHAnsi"/>
          <w:sz w:val="20"/>
          <w:szCs w:val="20"/>
          <w:lang w:val="en-GB"/>
        </w:rPr>
      </w:pPr>
      <w:r>
        <w:rPr>
          <w:rFonts w:asciiTheme="minorHAnsi" w:hAnsiTheme="minorHAnsi" w:cstheme="minorHAnsi"/>
          <w:sz w:val="20"/>
          <w:szCs w:val="20"/>
          <w:lang w:val="en-GB"/>
        </w:rPr>
        <w:t>A margin simulation of account SE A 1 gives these results.</w:t>
      </w:r>
    </w:p>
    <w:p w14:paraId="7DFE0E27" w14:textId="6BB24CD7" w:rsidR="00F1136C" w:rsidRDefault="00F1136C" w:rsidP="00110B78">
      <w:pPr>
        <w:pStyle w:val="BodyText"/>
        <w:rPr>
          <w:rFonts w:asciiTheme="minorHAnsi" w:hAnsiTheme="minorHAnsi" w:cstheme="minorHAnsi"/>
          <w:sz w:val="20"/>
          <w:szCs w:val="20"/>
          <w:lang w:val="en-GB"/>
        </w:rPr>
      </w:pPr>
      <w:r>
        <w:rPr>
          <w:noProof/>
          <w:lang w:val="sv-SE" w:eastAsia="sv-SE"/>
        </w:rPr>
        <w:drawing>
          <wp:inline distT="0" distB="0" distL="0" distR="0" wp14:anchorId="323AD056" wp14:editId="0E73760C">
            <wp:extent cx="5972810" cy="1176655"/>
            <wp:effectExtent l="0" t="0" r="889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1176655"/>
                    </a:xfrm>
                    <a:prstGeom prst="rect">
                      <a:avLst/>
                    </a:prstGeom>
                  </pic:spPr>
                </pic:pic>
              </a:graphicData>
            </a:graphic>
          </wp:inline>
        </w:drawing>
      </w:r>
    </w:p>
    <w:p w14:paraId="3AE74E63" w14:textId="77777777" w:rsidR="00F1136C" w:rsidRDefault="00F1136C" w:rsidP="00110B78">
      <w:pPr>
        <w:pStyle w:val="BodyText"/>
        <w:rPr>
          <w:rFonts w:asciiTheme="minorHAnsi" w:hAnsiTheme="minorHAnsi" w:cstheme="minorHAnsi"/>
          <w:b/>
          <w:sz w:val="20"/>
          <w:szCs w:val="20"/>
          <w:lang w:val="en-GB"/>
        </w:rPr>
      </w:pPr>
    </w:p>
    <w:p w14:paraId="1EE62D37" w14:textId="004D9204" w:rsidR="00D425C0" w:rsidRPr="00EC023E" w:rsidRDefault="00EC023E" w:rsidP="00110B78">
      <w:pPr>
        <w:pStyle w:val="BodyText"/>
        <w:rPr>
          <w:rFonts w:asciiTheme="minorHAnsi" w:hAnsiTheme="minorHAnsi" w:cstheme="minorHAnsi"/>
          <w:b/>
          <w:sz w:val="20"/>
          <w:szCs w:val="20"/>
          <w:lang w:val="en-GB"/>
        </w:rPr>
      </w:pPr>
      <w:r w:rsidRPr="00EC023E">
        <w:rPr>
          <w:rFonts w:asciiTheme="minorHAnsi" w:hAnsiTheme="minorHAnsi" w:cstheme="minorHAnsi"/>
          <w:b/>
          <w:sz w:val="20"/>
          <w:szCs w:val="20"/>
          <w:lang w:val="en-GB"/>
        </w:rPr>
        <w:t>Portfolio example</w:t>
      </w:r>
    </w:p>
    <w:p w14:paraId="674DEDB6" w14:textId="46939A4A" w:rsidR="00EC023E" w:rsidRDefault="00F1136C" w:rsidP="00110B78">
      <w:pPr>
        <w:pStyle w:val="BodyText"/>
        <w:rPr>
          <w:rFonts w:asciiTheme="minorHAnsi" w:hAnsiTheme="minorHAnsi" w:cstheme="minorHAnsi"/>
          <w:sz w:val="20"/>
          <w:szCs w:val="20"/>
          <w:lang w:val="en-GB"/>
        </w:rPr>
      </w:pPr>
      <w:r>
        <w:rPr>
          <w:rFonts w:asciiTheme="minorHAnsi" w:hAnsiTheme="minorHAnsi" w:cstheme="minorHAnsi"/>
          <w:sz w:val="20"/>
          <w:szCs w:val="20"/>
          <w:lang w:val="en-GB"/>
        </w:rPr>
        <w:t>The WWR P</w:t>
      </w:r>
      <w:r w:rsidR="00EC023E" w:rsidRPr="00EC023E">
        <w:rPr>
          <w:rFonts w:asciiTheme="minorHAnsi" w:hAnsiTheme="minorHAnsi" w:cstheme="minorHAnsi"/>
          <w:sz w:val="20"/>
          <w:szCs w:val="20"/>
          <w:lang w:val="en-GB"/>
        </w:rPr>
        <w:t xml:space="preserve">rice </w:t>
      </w:r>
      <w:r>
        <w:rPr>
          <w:rFonts w:asciiTheme="minorHAnsi" w:hAnsiTheme="minorHAnsi" w:cstheme="minorHAnsi"/>
          <w:sz w:val="20"/>
          <w:szCs w:val="20"/>
          <w:lang w:val="en-GB"/>
        </w:rPr>
        <w:t>S</w:t>
      </w:r>
      <w:r w:rsidR="00EC023E" w:rsidRPr="00EC023E">
        <w:rPr>
          <w:rFonts w:asciiTheme="minorHAnsi" w:hAnsiTheme="minorHAnsi" w:cstheme="minorHAnsi"/>
          <w:sz w:val="20"/>
          <w:szCs w:val="20"/>
          <w:lang w:val="en-GB"/>
        </w:rPr>
        <w:t xml:space="preserve">cenario in the below OMS2 vector files are in red text and having scenario number 31. In the actual model implementation in </w:t>
      </w:r>
      <w:proofErr w:type="spellStart"/>
      <w:r w:rsidR="00EC023E" w:rsidRPr="00EC023E">
        <w:rPr>
          <w:rFonts w:asciiTheme="minorHAnsi" w:hAnsiTheme="minorHAnsi" w:cstheme="minorHAnsi"/>
          <w:sz w:val="20"/>
          <w:szCs w:val="20"/>
          <w:lang w:val="en-GB"/>
        </w:rPr>
        <w:t>Genium</w:t>
      </w:r>
      <w:proofErr w:type="spellEnd"/>
      <w:r w:rsidR="00EC023E" w:rsidRPr="00EC023E">
        <w:rPr>
          <w:rFonts w:asciiTheme="minorHAnsi" w:hAnsiTheme="minorHAnsi" w:cstheme="minorHAnsi"/>
          <w:sz w:val="20"/>
          <w:szCs w:val="20"/>
          <w:lang w:val="en-GB"/>
        </w:rPr>
        <w:t xml:space="preserve"> INET there </w:t>
      </w:r>
      <w:r>
        <w:rPr>
          <w:rFonts w:asciiTheme="minorHAnsi" w:hAnsiTheme="minorHAnsi" w:cstheme="minorHAnsi"/>
          <w:sz w:val="20"/>
          <w:szCs w:val="20"/>
          <w:lang w:val="en-GB"/>
        </w:rPr>
        <w:t>is</w:t>
      </w:r>
      <w:r w:rsidR="00EC023E" w:rsidRPr="00EC023E">
        <w:rPr>
          <w:rFonts w:asciiTheme="minorHAnsi" w:hAnsiTheme="minorHAnsi" w:cstheme="minorHAnsi"/>
          <w:sz w:val="20"/>
          <w:szCs w:val="20"/>
          <w:lang w:val="en-GB"/>
        </w:rPr>
        <w:t xml:space="preserve"> a different internal handling (there will be no scenario number 31) and the external vector files for OMS2 replic</w:t>
      </w:r>
      <w:r>
        <w:rPr>
          <w:rFonts w:asciiTheme="minorHAnsi" w:hAnsiTheme="minorHAnsi" w:cstheme="minorHAnsi"/>
          <w:sz w:val="20"/>
          <w:szCs w:val="20"/>
          <w:lang w:val="en-GB"/>
        </w:rPr>
        <w:t>ation will not include the WWR P</w:t>
      </w:r>
      <w:r w:rsidR="00EC023E" w:rsidRPr="00EC023E">
        <w:rPr>
          <w:rFonts w:asciiTheme="minorHAnsi" w:hAnsiTheme="minorHAnsi" w:cstheme="minorHAnsi"/>
          <w:sz w:val="20"/>
          <w:szCs w:val="20"/>
          <w:lang w:val="en-GB"/>
        </w:rPr>
        <w:t xml:space="preserve">rice </w:t>
      </w:r>
      <w:r>
        <w:rPr>
          <w:rFonts w:asciiTheme="minorHAnsi" w:hAnsiTheme="minorHAnsi" w:cstheme="minorHAnsi"/>
          <w:sz w:val="20"/>
          <w:szCs w:val="20"/>
          <w:lang w:val="en-GB"/>
        </w:rPr>
        <w:t>S</w:t>
      </w:r>
      <w:r w:rsidR="00EC023E" w:rsidRPr="00EC023E">
        <w:rPr>
          <w:rFonts w:asciiTheme="minorHAnsi" w:hAnsiTheme="minorHAnsi" w:cstheme="minorHAnsi"/>
          <w:sz w:val="20"/>
          <w:szCs w:val="20"/>
          <w:lang w:val="en-GB"/>
        </w:rPr>
        <w:t>cenario.</w:t>
      </w:r>
    </w:p>
    <w:p w14:paraId="0C33F1E1" w14:textId="2FD0B953" w:rsidR="00EC023E" w:rsidRPr="00110B78" w:rsidRDefault="00EC023E" w:rsidP="00110B78">
      <w:pPr>
        <w:pStyle w:val="BodyText"/>
        <w:rPr>
          <w:rFonts w:asciiTheme="minorHAnsi" w:hAnsiTheme="minorHAnsi" w:cstheme="minorHAnsi"/>
          <w:sz w:val="20"/>
          <w:szCs w:val="20"/>
          <w:lang w:val="en-GB"/>
        </w:rPr>
      </w:pPr>
      <w:r>
        <w:rPr>
          <w:noProof/>
          <w:lang w:val="sv-SE" w:eastAsia="sv-SE"/>
        </w:rPr>
        <w:lastRenderedPageBreak/>
        <w:drawing>
          <wp:inline distT="0" distB="0" distL="0" distR="0" wp14:anchorId="75626E81" wp14:editId="5C364465">
            <wp:extent cx="5732145" cy="2467610"/>
            <wp:effectExtent l="0" t="0" r="190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2467610"/>
                    </a:xfrm>
                    <a:prstGeom prst="rect">
                      <a:avLst/>
                    </a:prstGeom>
                  </pic:spPr>
                </pic:pic>
              </a:graphicData>
            </a:graphic>
          </wp:inline>
        </w:drawing>
      </w:r>
    </w:p>
    <w:p w14:paraId="1D9AC98B" w14:textId="38C88971" w:rsidR="00F1136C" w:rsidRPr="00F1136C" w:rsidRDefault="00F1136C"/>
    <w:p w14:paraId="4B40B40F" w14:textId="081F444A" w:rsidR="009D3F4B" w:rsidRDefault="009D3F4B" w:rsidP="00F1136C">
      <w:pPr>
        <w:pStyle w:val="nasdaqsubhead"/>
        <w:ind w:left="0"/>
      </w:pPr>
      <w:r>
        <w:t>Contact information</w:t>
      </w:r>
    </w:p>
    <w:p w14:paraId="0C487174" w14:textId="3EF0936E" w:rsidR="002239E8" w:rsidRPr="002239E8" w:rsidRDefault="002239E8" w:rsidP="002239E8">
      <w:pPr>
        <w:rPr>
          <w:rFonts w:asciiTheme="minorHAnsi" w:hAnsiTheme="minorHAnsi"/>
          <w:sz w:val="20"/>
          <w:szCs w:val="20"/>
        </w:rPr>
      </w:pPr>
      <w:r w:rsidRPr="002239E8">
        <w:rPr>
          <w:rFonts w:asciiTheme="minorHAnsi" w:hAnsiTheme="minorHAnsi"/>
          <w:sz w:val="20"/>
          <w:szCs w:val="20"/>
        </w:rPr>
        <w:t>If you have any questions or require any additional guidance, please contact Nasdaq Clearing Risk Management</w:t>
      </w:r>
      <w:r>
        <w:rPr>
          <w:rFonts w:asciiTheme="minorHAnsi" w:hAnsiTheme="minorHAnsi"/>
          <w:sz w:val="20"/>
          <w:szCs w:val="20"/>
        </w:rPr>
        <w:t>.</w:t>
      </w:r>
    </w:p>
    <w:p w14:paraId="523525FD" w14:textId="77777777" w:rsidR="002239E8" w:rsidRDefault="002239E8" w:rsidP="002239E8">
      <w:pPr>
        <w:rPr>
          <w:rFonts w:asciiTheme="minorHAnsi" w:hAnsiTheme="minorHAnsi"/>
          <w:sz w:val="20"/>
          <w:szCs w:val="20"/>
        </w:rPr>
      </w:pPr>
      <w:r w:rsidRPr="002239E8">
        <w:rPr>
          <w:rFonts w:asciiTheme="minorHAnsi" w:hAnsiTheme="minorHAnsi"/>
          <w:sz w:val="20"/>
          <w:szCs w:val="20"/>
        </w:rPr>
        <w:t>Risk Manage</w:t>
      </w:r>
      <w:r>
        <w:rPr>
          <w:rFonts w:asciiTheme="minorHAnsi" w:hAnsiTheme="minorHAnsi"/>
          <w:sz w:val="20"/>
          <w:szCs w:val="20"/>
        </w:rPr>
        <w:t xml:space="preserve">ment: </w:t>
      </w:r>
      <w:hyperlink r:id="rId11" w:history="1">
        <w:r w:rsidRPr="00E23015">
          <w:rPr>
            <w:rStyle w:val="Hyperlink"/>
            <w:rFonts w:asciiTheme="minorHAnsi" w:hAnsiTheme="minorHAnsi"/>
            <w:sz w:val="20"/>
            <w:szCs w:val="20"/>
          </w:rPr>
          <w:t>clearing.risk@nasdaq.com</w:t>
        </w:r>
      </w:hyperlink>
    </w:p>
    <w:p w14:paraId="5BFF3340" w14:textId="77777777" w:rsidR="002239E8" w:rsidRDefault="002239E8" w:rsidP="002239E8">
      <w:pPr>
        <w:rPr>
          <w:rFonts w:asciiTheme="minorHAnsi" w:hAnsiTheme="minorHAnsi"/>
          <w:sz w:val="20"/>
          <w:szCs w:val="20"/>
        </w:rPr>
      </w:pPr>
      <w:r>
        <w:rPr>
          <w:rFonts w:asciiTheme="minorHAnsi" w:hAnsiTheme="minorHAnsi"/>
          <w:sz w:val="20"/>
          <w:szCs w:val="20"/>
        </w:rPr>
        <w:t xml:space="preserve">Sweden: </w:t>
      </w:r>
      <w:r w:rsidRPr="00B54BF0">
        <w:rPr>
          <w:rFonts w:asciiTheme="minorHAnsi" w:hAnsiTheme="minorHAnsi"/>
          <w:sz w:val="20"/>
          <w:szCs w:val="20"/>
        </w:rPr>
        <w:t>+46 8 405 7088</w:t>
      </w:r>
    </w:p>
    <w:p w14:paraId="685DFE02" w14:textId="77777777" w:rsidR="002239E8" w:rsidRPr="002239E8" w:rsidRDefault="002239E8" w:rsidP="002239E8">
      <w:pPr>
        <w:rPr>
          <w:rFonts w:asciiTheme="minorHAnsi" w:hAnsiTheme="minorHAnsi"/>
          <w:sz w:val="20"/>
          <w:szCs w:val="20"/>
        </w:rPr>
      </w:pPr>
      <w:r>
        <w:rPr>
          <w:rFonts w:asciiTheme="minorHAnsi" w:hAnsiTheme="minorHAnsi"/>
          <w:sz w:val="20"/>
          <w:szCs w:val="20"/>
        </w:rPr>
        <w:t xml:space="preserve">Norway: </w:t>
      </w:r>
      <w:r w:rsidRPr="00B54BF0">
        <w:rPr>
          <w:rFonts w:asciiTheme="minorHAnsi" w:hAnsiTheme="minorHAnsi"/>
          <w:sz w:val="20"/>
          <w:szCs w:val="20"/>
        </w:rPr>
        <w:t>+47 67 10 84 26</w:t>
      </w:r>
    </w:p>
    <w:sectPr w:rsidR="002239E8" w:rsidRPr="002239E8">
      <w:headerReference w:type="default" r:id="rId12"/>
      <w:footerReference w:type="even" r:id="rId13"/>
      <w:footerReference w:type="defaul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09DD" w14:textId="77777777" w:rsidR="00EE4291" w:rsidRDefault="00EE4291" w:rsidP="001E5DBD">
      <w:pPr>
        <w:spacing w:after="0" w:line="240" w:lineRule="auto"/>
      </w:pPr>
      <w:r>
        <w:separator/>
      </w:r>
    </w:p>
  </w:endnote>
  <w:endnote w:type="continuationSeparator" w:id="0">
    <w:p w14:paraId="6F29ECC3" w14:textId="77777777" w:rsidR="00EE4291" w:rsidRDefault="00EE4291" w:rsidP="001E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09D4" w14:textId="4D4169B9" w:rsidR="007F2353" w:rsidRDefault="007F2353">
    <w:pPr>
      <w:pStyle w:val="Footer"/>
    </w:pPr>
    <w:r>
      <w:rPr>
        <w:noProof/>
      </w:rPr>
      <mc:AlternateContent>
        <mc:Choice Requires="wps">
          <w:drawing>
            <wp:anchor distT="0" distB="0" distL="0" distR="0" simplePos="0" relativeHeight="251663360" behindDoc="0" locked="0" layoutInCell="1" allowOverlap="1" wp14:anchorId="6181B738" wp14:editId="26D7690D">
              <wp:simplePos x="635" y="635"/>
              <wp:positionH relativeFrom="page">
                <wp:align>center</wp:align>
              </wp:positionH>
              <wp:positionV relativeFrom="page">
                <wp:align>bottom</wp:align>
              </wp:positionV>
              <wp:extent cx="5972810" cy="618490"/>
              <wp:effectExtent l="0" t="0" r="8890" b="0"/>
              <wp:wrapNone/>
              <wp:docPr id="727127628" name="Text Box 2"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2810" cy="618490"/>
                      </a:xfrm>
                      <a:prstGeom prst="rect">
                        <a:avLst/>
                      </a:prstGeom>
                      <a:noFill/>
                      <a:ln>
                        <a:noFill/>
                      </a:ln>
                    </wps:spPr>
                    <wps:txbx>
                      <w:txbxContent>
                        <w:p w14:paraId="331BC19B" w14:textId="4ADF2383" w:rsidR="007F2353" w:rsidRPr="007F2353" w:rsidRDefault="007F2353" w:rsidP="007F2353">
                          <w:pPr>
                            <w:spacing w:after="0"/>
                            <w:rPr>
                              <w:rFonts w:ascii="Calibri" w:eastAsia="Calibri" w:hAnsi="Calibri" w:cs="Calibri"/>
                              <w:noProof/>
                              <w:color w:val="000000"/>
                              <w:sz w:val="24"/>
                              <w:szCs w:val="24"/>
                            </w:rPr>
                          </w:pPr>
                          <w:r w:rsidRPr="007F2353">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1B738" id="_x0000_t202" coordsize="21600,21600" o:spt="202" path="m,l,21600r21600,l21600,xe">
              <v:stroke joinstyle="miter"/>
              <v:path gradientshapeok="t" o:connecttype="rect"/>
            </v:shapetype>
            <v:shape id="Text Box 2" o:spid="_x0000_s1026" type="#_x0000_t202" alt="Nasdaq - Internal Use: Distribution limited to Nasdaq personnel and authorized third parties subject to confidentiality obligations" style="position:absolute;margin-left:0;margin-top:0;width:470.3pt;height:48.7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" filled="f" stroked="f">
              <v:textbox style="mso-fit-shape-to-text:t" inset="0,0,0,15pt">
                <w:txbxContent>
                  <w:p w14:paraId="331BC19B" w14:textId="4ADF2383" w:rsidR="007F2353" w:rsidRPr="007F2353" w:rsidRDefault="007F2353" w:rsidP="007F2353">
                    <w:pPr>
                      <w:spacing w:after="0"/>
                      <w:rPr>
                        <w:rFonts w:ascii="Calibri" w:eastAsia="Calibri" w:hAnsi="Calibri" w:cs="Calibri"/>
                        <w:noProof/>
                        <w:color w:val="000000"/>
                        <w:sz w:val="24"/>
                        <w:szCs w:val="24"/>
                      </w:rPr>
                    </w:pPr>
                    <w:r w:rsidRPr="007F2353">
                      <w:rPr>
                        <w:rFonts w:ascii="Calibri" w:eastAsia="Calibri" w:hAnsi="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0166" w14:textId="7C71A105" w:rsidR="007F2353" w:rsidRDefault="007F2353">
    <w:pPr>
      <w:pStyle w:val="Footer"/>
    </w:pPr>
    <w:r>
      <w:rPr>
        <w:noProof/>
      </w:rPr>
      <mc:AlternateContent>
        <mc:Choice Requires="wps">
          <w:drawing>
            <wp:anchor distT="0" distB="0" distL="0" distR="0" simplePos="0" relativeHeight="251664384" behindDoc="0" locked="0" layoutInCell="1" allowOverlap="1" wp14:anchorId="2E3B45DD" wp14:editId="222669E7">
              <wp:simplePos x="635" y="635"/>
              <wp:positionH relativeFrom="page">
                <wp:align>center</wp:align>
              </wp:positionH>
              <wp:positionV relativeFrom="page">
                <wp:align>bottom</wp:align>
              </wp:positionV>
              <wp:extent cx="5972810" cy="618490"/>
              <wp:effectExtent l="0" t="0" r="8890" b="0"/>
              <wp:wrapNone/>
              <wp:docPr id="1276869967" name="Text Box 3"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2810" cy="618490"/>
                      </a:xfrm>
                      <a:prstGeom prst="rect">
                        <a:avLst/>
                      </a:prstGeom>
                      <a:noFill/>
                      <a:ln>
                        <a:noFill/>
                      </a:ln>
                    </wps:spPr>
                    <wps:txbx>
                      <w:txbxContent>
                        <w:p w14:paraId="7F93B683" w14:textId="60CDB886" w:rsidR="007F2353" w:rsidRPr="007F2353" w:rsidRDefault="007F2353" w:rsidP="007F2353">
                          <w:pPr>
                            <w:spacing w:after="0"/>
                            <w:rPr>
                              <w:rFonts w:ascii="Calibri" w:eastAsia="Calibri" w:hAnsi="Calibri" w:cs="Calibri"/>
                              <w:noProof/>
                              <w:color w:val="000000"/>
                              <w:sz w:val="24"/>
                              <w:szCs w:val="24"/>
                            </w:rPr>
                          </w:pPr>
                          <w:r w:rsidRPr="007F2353">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B45DD" id="_x0000_t202" coordsize="21600,21600" o:spt="202" path="m,l,21600r21600,l21600,xe">
              <v:stroke joinstyle="miter"/>
              <v:path gradientshapeok="t" o:connecttype="rect"/>
            </v:shapetype>
            <v:shape id="Text Box 3" o:spid="_x0000_s1027" type="#_x0000_t202" alt="Nasdaq - Internal Use: Distribution limited to Nasdaq personnel and authorized third parties subject to confidentiality obligations" style="position:absolute;margin-left:0;margin-top:0;width:470.3pt;height:48.7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" filled="f" stroked="f">
              <v:textbox style="mso-fit-shape-to-text:t" inset="0,0,0,15pt">
                <w:txbxContent>
                  <w:p w14:paraId="7F93B683" w14:textId="60CDB886" w:rsidR="007F2353" w:rsidRPr="007F2353" w:rsidRDefault="007F2353" w:rsidP="007F2353">
                    <w:pPr>
                      <w:spacing w:after="0"/>
                      <w:rPr>
                        <w:rFonts w:ascii="Calibri" w:eastAsia="Calibri" w:hAnsi="Calibri" w:cs="Calibri"/>
                        <w:noProof/>
                        <w:color w:val="000000"/>
                        <w:sz w:val="24"/>
                        <w:szCs w:val="24"/>
                      </w:rPr>
                    </w:pPr>
                    <w:r w:rsidRPr="007F2353">
                      <w:rPr>
                        <w:rFonts w:ascii="Calibri" w:eastAsia="Calibri" w:hAnsi="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3121" w14:textId="279FF857" w:rsidR="007F2353" w:rsidRDefault="007F2353">
    <w:pPr>
      <w:pStyle w:val="Footer"/>
    </w:pPr>
    <w:r>
      <w:rPr>
        <w:noProof/>
      </w:rPr>
      <mc:AlternateContent>
        <mc:Choice Requires="wps">
          <w:drawing>
            <wp:anchor distT="0" distB="0" distL="0" distR="0" simplePos="0" relativeHeight="251662336" behindDoc="0" locked="0" layoutInCell="1" allowOverlap="1" wp14:anchorId="3F06E8CA" wp14:editId="7FEC1023">
              <wp:simplePos x="635" y="635"/>
              <wp:positionH relativeFrom="page">
                <wp:align>center</wp:align>
              </wp:positionH>
              <wp:positionV relativeFrom="page">
                <wp:align>bottom</wp:align>
              </wp:positionV>
              <wp:extent cx="5972810" cy="618490"/>
              <wp:effectExtent l="0" t="0" r="8890" b="0"/>
              <wp:wrapNone/>
              <wp:docPr id="1812739513" name="Text Box 1"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2810" cy="618490"/>
                      </a:xfrm>
                      <a:prstGeom prst="rect">
                        <a:avLst/>
                      </a:prstGeom>
                      <a:noFill/>
                      <a:ln>
                        <a:noFill/>
                      </a:ln>
                    </wps:spPr>
                    <wps:txbx>
                      <w:txbxContent>
                        <w:p w14:paraId="677D3256" w14:textId="4900F9E3" w:rsidR="007F2353" w:rsidRPr="007F2353" w:rsidRDefault="007F2353" w:rsidP="007F2353">
                          <w:pPr>
                            <w:spacing w:after="0"/>
                            <w:rPr>
                              <w:rFonts w:ascii="Calibri" w:eastAsia="Calibri" w:hAnsi="Calibri" w:cs="Calibri"/>
                              <w:noProof/>
                              <w:color w:val="000000"/>
                              <w:sz w:val="24"/>
                              <w:szCs w:val="24"/>
                            </w:rPr>
                          </w:pPr>
                          <w:r w:rsidRPr="007F2353">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6E8CA" id="_x0000_t202" coordsize="21600,21600" o:spt="202" path="m,l,21600r21600,l21600,xe">
              <v:stroke joinstyle="miter"/>
              <v:path gradientshapeok="t" o:connecttype="rect"/>
            </v:shapetype>
            <v:shape id="Text Box 1" o:spid="_x0000_s1028" type="#_x0000_t202" alt="Nasdaq - Internal Use: Distribution limited to Nasdaq personnel and authorized third parties subject to confidentiality obligations" style="position:absolute;margin-left:0;margin-top:0;width:470.3pt;height:48.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" filled="f" stroked="f">
              <v:textbox style="mso-fit-shape-to-text:t" inset="0,0,0,15pt">
                <w:txbxContent>
                  <w:p w14:paraId="677D3256" w14:textId="4900F9E3" w:rsidR="007F2353" w:rsidRPr="007F2353" w:rsidRDefault="007F2353" w:rsidP="007F2353">
                    <w:pPr>
                      <w:spacing w:after="0"/>
                      <w:rPr>
                        <w:rFonts w:ascii="Calibri" w:eastAsia="Calibri" w:hAnsi="Calibri" w:cs="Calibri"/>
                        <w:noProof/>
                        <w:color w:val="000000"/>
                        <w:sz w:val="24"/>
                        <w:szCs w:val="24"/>
                      </w:rPr>
                    </w:pPr>
                    <w:r w:rsidRPr="007F2353">
                      <w:rPr>
                        <w:rFonts w:ascii="Calibri" w:eastAsia="Calibri" w:hAnsi="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99E0" w14:textId="77777777" w:rsidR="00EE4291" w:rsidRDefault="00EE4291" w:rsidP="001E5DBD">
      <w:pPr>
        <w:spacing w:after="0" w:line="240" w:lineRule="auto"/>
      </w:pPr>
      <w:r>
        <w:separator/>
      </w:r>
    </w:p>
  </w:footnote>
  <w:footnote w:type="continuationSeparator" w:id="0">
    <w:p w14:paraId="666F5F9E" w14:textId="77777777" w:rsidR="00EE4291" w:rsidRDefault="00EE4291" w:rsidP="001E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EE65" w14:textId="77777777" w:rsidR="001E5DBD" w:rsidRDefault="0000520C">
    <w:pPr>
      <w:pStyle w:val="Header"/>
    </w:pPr>
    <w:r>
      <w:rPr>
        <w:noProof/>
        <w:lang w:val="sv-SE" w:eastAsia="sv-SE"/>
      </w:rPr>
      <w:drawing>
        <wp:anchor distT="0" distB="0" distL="114300" distR="114300" simplePos="0" relativeHeight="251661312" behindDoc="1" locked="1" layoutInCell="1" allowOverlap="1" wp14:anchorId="5C6339F4" wp14:editId="65B31B48">
          <wp:simplePos x="0" y="0"/>
          <wp:positionH relativeFrom="margin">
            <wp:posOffset>3877310</wp:posOffset>
          </wp:positionH>
          <wp:positionV relativeFrom="page">
            <wp:posOffset>153670</wp:posOffset>
          </wp:positionV>
          <wp:extent cx="2092325" cy="59309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2005-2010:Desktop:NDAQ_Letterhead_2014:ndaq_colo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2325" cy="5930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B9C8ACF" w14:textId="77777777" w:rsidR="001E5DBD" w:rsidRDefault="001E5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E41"/>
    <w:multiLevelType w:val="hybridMultilevel"/>
    <w:tmpl w:val="1B32A8F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55200F"/>
    <w:multiLevelType w:val="multilevel"/>
    <w:tmpl w:val="6ADC05E2"/>
    <w:numStyleLink w:val="AppendicesList"/>
  </w:abstractNum>
  <w:abstractNum w:abstractNumId="2" w15:restartNumberingAfterBreak="0">
    <w:nsid w:val="19882121"/>
    <w:multiLevelType w:val="hybridMultilevel"/>
    <w:tmpl w:val="F538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66D61"/>
    <w:multiLevelType w:val="hybridMultilevel"/>
    <w:tmpl w:val="F74A55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5" w15:restartNumberingAfterBreak="0">
    <w:nsid w:val="5BB73CF8"/>
    <w:multiLevelType w:val="hybridMultilevel"/>
    <w:tmpl w:val="F538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56EF1"/>
    <w:multiLevelType w:val="hybridMultilevel"/>
    <w:tmpl w:val="BE06A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BBE7A70"/>
    <w:multiLevelType w:val="hybridMultilevel"/>
    <w:tmpl w:val="A8D6A6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FBD4224"/>
    <w:multiLevelType w:val="hybridMultilevel"/>
    <w:tmpl w:val="F538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513795">
    <w:abstractNumId w:val="7"/>
  </w:num>
  <w:num w:numId="2" w16cid:durableId="1725640293">
    <w:abstractNumId w:val="3"/>
  </w:num>
  <w:num w:numId="3" w16cid:durableId="1110969946">
    <w:abstractNumId w:val="4"/>
  </w:num>
  <w:num w:numId="4" w16cid:durableId="1138382007">
    <w:abstractNumId w:val="1"/>
  </w:num>
  <w:num w:numId="5" w16cid:durableId="939525288">
    <w:abstractNumId w:val="2"/>
  </w:num>
  <w:num w:numId="6" w16cid:durableId="1016007633">
    <w:abstractNumId w:val="5"/>
  </w:num>
  <w:num w:numId="7" w16cid:durableId="314921429">
    <w:abstractNumId w:val="8"/>
  </w:num>
  <w:num w:numId="8" w16cid:durableId="1745295587">
    <w:abstractNumId w:val="0"/>
  </w:num>
  <w:num w:numId="9" w16cid:durableId="1096949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F7"/>
    <w:rsid w:val="0000520C"/>
    <w:rsid w:val="000156AE"/>
    <w:rsid w:val="0002722C"/>
    <w:rsid w:val="000342DC"/>
    <w:rsid w:val="00034FC3"/>
    <w:rsid w:val="000361C9"/>
    <w:rsid w:val="0006615A"/>
    <w:rsid w:val="00071463"/>
    <w:rsid w:val="00080B83"/>
    <w:rsid w:val="000C1AFD"/>
    <w:rsid w:val="000C2D76"/>
    <w:rsid w:val="000E721C"/>
    <w:rsid w:val="000F355A"/>
    <w:rsid w:val="0010083E"/>
    <w:rsid w:val="001045B9"/>
    <w:rsid w:val="00107C91"/>
    <w:rsid w:val="00110B78"/>
    <w:rsid w:val="0011247B"/>
    <w:rsid w:val="00153FDA"/>
    <w:rsid w:val="001700F8"/>
    <w:rsid w:val="00193263"/>
    <w:rsid w:val="001B6221"/>
    <w:rsid w:val="001B6805"/>
    <w:rsid w:val="001B6E91"/>
    <w:rsid w:val="001E5DBD"/>
    <w:rsid w:val="0021567B"/>
    <w:rsid w:val="00215FA3"/>
    <w:rsid w:val="002239E8"/>
    <w:rsid w:val="00226EED"/>
    <w:rsid w:val="002407DA"/>
    <w:rsid w:val="00240ABB"/>
    <w:rsid w:val="0024674E"/>
    <w:rsid w:val="00247DEE"/>
    <w:rsid w:val="00253517"/>
    <w:rsid w:val="002732D6"/>
    <w:rsid w:val="00295F50"/>
    <w:rsid w:val="002A58AC"/>
    <w:rsid w:val="002B6C6F"/>
    <w:rsid w:val="002C4F3E"/>
    <w:rsid w:val="002D4C05"/>
    <w:rsid w:val="002D4C1C"/>
    <w:rsid w:val="002D54B6"/>
    <w:rsid w:val="002D74E3"/>
    <w:rsid w:val="002E2AC2"/>
    <w:rsid w:val="002F7306"/>
    <w:rsid w:val="00306BD6"/>
    <w:rsid w:val="0034253B"/>
    <w:rsid w:val="003466D0"/>
    <w:rsid w:val="00346D5F"/>
    <w:rsid w:val="00350D8F"/>
    <w:rsid w:val="0036495D"/>
    <w:rsid w:val="00370E36"/>
    <w:rsid w:val="00373C82"/>
    <w:rsid w:val="003A16D6"/>
    <w:rsid w:val="003C2B4A"/>
    <w:rsid w:val="003C4992"/>
    <w:rsid w:val="003E10DE"/>
    <w:rsid w:val="003E3EEB"/>
    <w:rsid w:val="003E43AA"/>
    <w:rsid w:val="003F47ED"/>
    <w:rsid w:val="00405FD8"/>
    <w:rsid w:val="00446BC1"/>
    <w:rsid w:val="00451BA1"/>
    <w:rsid w:val="00454966"/>
    <w:rsid w:val="00473947"/>
    <w:rsid w:val="004850A4"/>
    <w:rsid w:val="00485FB8"/>
    <w:rsid w:val="004A1694"/>
    <w:rsid w:val="004C21DB"/>
    <w:rsid w:val="004C7FB2"/>
    <w:rsid w:val="004D32EC"/>
    <w:rsid w:val="004E052F"/>
    <w:rsid w:val="00503BE9"/>
    <w:rsid w:val="005254F9"/>
    <w:rsid w:val="00527C24"/>
    <w:rsid w:val="005349B8"/>
    <w:rsid w:val="00535445"/>
    <w:rsid w:val="00572B77"/>
    <w:rsid w:val="0059100D"/>
    <w:rsid w:val="00591F55"/>
    <w:rsid w:val="005941CB"/>
    <w:rsid w:val="00596FA4"/>
    <w:rsid w:val="005B4D0B"/>
    <w:rsid w:val="00615DAA"/>
    <w:rsid w:val="00624989"/>
    <w:rsid w:val="006409A9"/>
    <w:rsid w:val="006547B1"/>
    <w:rsid w:val="00663B25"/>
    <w:rsid w:val="006722D5"/>
    <w:rsid w:val="00673440"/>
    <w:rsid w:val="006A2DB6"/>
    <w:rsid w:val="006B3E3A"/>
    <w:rsid w:val="006B4827"/>
    <w:rsid w:val="006B70D8"/>
    <w:rsid w:val="006C487E"/>
    <w:rsid w:val="006F14DE"/>
    <w:rsid w:val="006F5F40"/>
    <w:rsid w:val="006F6CBD"/>
    <w:rsid w:val="007001AE"/>
    <w:rsid w:val="0070363A"/>
    <w:rsid w:val="007134AA"/>
    <w:rsid w:val="007427B8"/>
    <w:rsid w:val="007461BF"/>
    <w:rsid w:val="00762710"/>
    <w:rsid w:val="00765CFE"/>
    <w:rsid w:val="00765F8B"/>
    <w:rsid w:val="007665AE"/>
    <w:rsid w:val="00772487"/>
    <w:rsid w:val="00781819"/>
    <w:rsid w:val="00782886"/>
    <w:rsid w:val="0078538A"/>
    <w:rsid w:val="007A3D32"/>
    <w:rsid w:val="007B4268"/>
    <w:rsid w:val="007B524B"/>
    <w:rsid w:val="007C2A3C"/>
    <w:rsid w:val="007D6194"/>
    <w:rsid w:val="007E1288"/>
    <w:rsid w:val="007F03F3"/>
    <w:rsid w:val="007F2195"/>
    <w:rsid w:val="007F2353"/>
    <w:rsid w:val="0084244E"/>
    <w:rsid w:val="0085687F"/>
    <w:rsid w:val="00881D67"/>
    <w:rsid w:val="008A1365"/>
    <w:rsid w:val="008C7739"/>
    <w:rsid w:val="008D2081"/>
    <w:rsid w:val="008D77A2"/>
    <w:rsid w:val="008E1496"/>
    <w:rsid w:val="009133C6"/>
    <w:rsid w:val="0092620A"/>
    <w:rsid w:val="00960B14"/>
    <w:rsid w:val="00964FC5"/>
    <w:rsid w:val="009771F5"/>
    <w:rsid w:val="00985896"/>
    <w:rsid w:val="009915C2"/>
    <w:rsid w:val="00993A5E"/>
    <w:rsid w:val="009A5307"/>
    <w:rsid w:val="009B0D38"/>
    <w:rsid w:val="009B2AA6"/>
    <w:rsid w:val="009B79B4"/>
    <w:rsid w:val="009D3F4B"/>
    <w:rsid w:val="00A02B1A"/>
    <w:rsid w:val="00A1651C"/>
    <w:rsid w:val="00A2183B"/>
    <w:rsid w:val="00A3049C"/>
    <w:rsid w:val="00A30BF2"/>
    <w:rsid w:val="00A47CEB"/>
    <w:rsid w:val="00A53154"/>
    <w:rsid w:val="00A751C3"/>
    <w:rsid w:val="00A9212B"/>
    <w:rsid w:val="00A93E53"/>
    <w:rsid w:val="00AA0031"/>
    <w:rsid w:val="00AA0E5C"/>
    <w:rsid w:val="00AA20B0"/>
    <w:rsid w:val="00AD39A2"/>
    <w:rsid w:val="00AD4118"/>
    <w:rsid w:val="00AD5FEF"/>
    <w:rsid w:val="00AD76E9"/>
    <w:rsid w:val="00AE5751"/>
    <w:rsid w:val="00B50DB9"/>
    <w:rsid w:val="00B54BF0"/>
    <w:rsid w:val="00B77BFC"/>
    <w:rsid w:val="00B818D9"/>
    <w:rsid w:val="00B8782C"/>
    <w:rsid w:val="00B95B6D"/>
    <w:rsid w:val="00B96CA5"/>
    <w:rsid w:val="00BA2CB8"/>
    <w:rsid w:val="00BA6F46"/>
    <w:rsid w:val="00BB0463"/>
    <w:rsid w:val="00BB0B1B"/>
    <w:rsid w:val="00BB7A81"/>
    <w:rsid w:val="00BC4D7F"/>
    <w:rsid w:val="00BC6C8C"/>
    <w:rsid w:val="00BE6611"/>
    <w:rsid w:val="00BF5D31"/>
    <w:rsid w:val="00C27FE8"/>
    <w:rsid w:val="00C34D6A"/>
    <w:rsid w:val="00C47198"/>
    <w:rsid w:val="00C50645"/>
    <w:rsid w:val="00C523DA"/>
    <w:rsid w:val="00C73152"/>
    <w:rsid w:val="00C7723A"/>
    <w:rsid w:val="00C81E83"/>
    <w:rsid w:val="00C9701E"/>
    <w:rsid w:val="00C97FD9"/>
    <w:rsid w:val="00CA3AA6"/>
    <w:rsid w:val="00CB2DA7"/>
    <w:rsid w:val="00CC3B3A"/>
    <w:rsid w:val="00CD247C"/>
    <w:rsid w:val="00CD6503"/>
    <w:rsid w:val="00CF45E7"/>
    <w:rsid w:val="00D115F2"/>
    <w:rsid w:val="00D124D9"/>
    <w:rsid w:val="00D141D9"/>
    <w:rsid w:val="00D17F38"/>
    <w:rsid w:val="00D212BB"/>
    <w:rsid w:val="00D34C46"/>
    <w:rsid w:val="00D425C0"/>
    <w:rsid w:val="00D61FF9"/>
    <w:rsid w:val="00D65CF7"/>
    <w:rsid w:val="00D67E49"/>
    <w:rsid w:val="00DA206B"/>
    <w:rsid w:val="00DA291F"/>
    <w:rsid w:val="00DC284F"/>
    <w:rsid w:val="00DD5BD5"/>
    <w:rsid w:val="00DF0DCD"/>
    <w:rsid w:val="00DF1BC8"/>
    <w:rsid w:val="00DF584B"/>
    <w:rsid w:val="00DF6157"/>
    <w:rsid w:val="00E33020"/>
    <w:rsid w:val="00E43982"/>
    <w:rsid w:val="00E51BEA"/>
    <w:rsid w:val="00E51C14"/>
    <w:rsid w:val="00E62AEC"/>
    <w:rsid w:val="00E751AF"/>
    <w:rsid w:val="00E80E89"/>
    <w:rsid w:val="00E82B32"/>
    <w:rsid w:val="00E8448D"/>
    <w:rsid w:val="00EB32CF"/>
    <w:rsid w:val="00EB3A9D"/>
    <w:rsid w:val="00EC023E"/>
    <w:rsid w:val="00EC12AD"/>
    <w:rsid w:val="00EC34B4"/>
    <w:rsid w:val="00ED59CB"/>
    <w:rsid w:val="00EE07D5"/>
    <w:rsid w:val="00EE23E6"/>
    <w:rsid w:val="00EE4291"/>
    <w:rsid w:val="00F019BD"/>
    <w:rsid w:val="00F07719"/>
    <w:rsid w:val="00F1136C"/>
    <w:rsid w:val="00F215D1"/>
    <w:rsid w:val="00F23189"/>
    <w:rsid w:val="00F263A8"/>
    <w:rsid w:val="00F374F7"/>
    <w:rsid w:val="00F41A83"/>
    <w:rsid w:val="00F42131"/>
    <w:rsid w:val="00F52ED7"/>
    <w:rsid w:val="00F727C6"/>
    <w:rsid w:val="00F75C4B"/>
    <w:rsid w:val="00F8435F"/>
    <w:rsid w:val="00F86A15"/>
    <w:rsid w:val="00F9051C"/>
    <w:rsid w:val="00FC3408"/>
    <w:rsid w:val="00FE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02C3"/>
  <w15:docId w15:val="{9D37B3C0-B829-4D0D-9F7A-CCB25837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F7"/>
    <w:rPr>
      <w:rFonts w:ascii="Times New Roman" w:eastAsiaTheme="minorEastAsia" w:hAnsi="Times New Roman"/>
      <w:lang w:eastAsia="zh-CN"/>
    </w:rPr>
  </w:style>
  <w:style w:type="paragraph" w:styleId="Heading1">
    <w:name w:val="heading 1"/>
    <w:basedOn w:val="Normal"/>
    <w:next w:val="Normal"/>
    <w:link w:val="Heading1Char"/>
    <w:qFormat/>
    <w:rsid w:val="007134AA"/>
    <w:pPr>
      <w:keepNext/>
      <w:keepLines/>
      <w:spacing w:before="480" w:after="0"/>
      <w:outlineLvl w:val="0"/>
    </w:pPr>
    <w:rPr>
      <w:rFonts w:asciiTheme="minorHAnsi" w:eastAsiaTheme="majorEastAsia" w:hAnsiTheme="minorHAnsi" w:cstheme="majorBidi"/>
      <w:b/>
      <w:bCs/>
      <w:caps/>
      <w:sz w:val="36"/>
      <w:szCs w:val="28"/>
    </w:rPr>
  </w:style>
  <w:style w:type="paragraph" w:styleId="Heading2">
    <w:name w:val="heading 2"/>
    <w:basedOn w:val="Normal"/>
    <w:next w:val="Normal"/>
    <w:link w:val="Heading2Char"/>
    <w:unhideWhenUsed/>
    <w:qFormat/>
    <w:rsid w:val="00D65CF7"/>
    <w:pPr>
      <w:keepNext/>
      <w:keepLines/>
      <w:spacing w:before="200" w:after="0"/>
      <w:outlineLvl w:val="1"/>
    </w:pPr>
    <w:rPr>
      <w:rFonts w:ascii="Verdana" w:eastAsiaTheme="majorEastAsia" w:hAnsi="Verdan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34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239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239E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39E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39E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39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9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4AA"/>
    <w:rPr>
      <w:rFonts w:eastAsiaTheme="majorEastAsia" w:cstheme="majorBidi"/>
      <w:b/>
      <w:bCs/>
      <w:caps/>
      <w:sz w:val="36"/>
      <w:szCs w:val="28"/>
      <w:lang w:eastAsia="zh-CN"/>
    </w:rPr>
  </w:style>
  <w:style w:type="character" w:customStyle="1" w:styleId="Heading2Char">
    <w:name w:val="Heading 2 Char"/>
    <w:basedOn w:val="DefaultParagraphFont"/>
    <w:link w:val="Heading2"/>
    <w:rsid w:val="00D65CF7"/>
    <w:rPr>
      <w:rFonts w:ascii="Verdana" w:eastAsiaTheme="majorEastAsia" w:hAnsi="Verdana" w:cstheme="majorBidi"/>
      <w:b/>
      <w:bCs/>
      <w:color w:val="4F81BD" w:themeColor="accent1"/>
      <w:sz w:val="26"/>
      <w:szCs w:val="26"/>
      <w:lang w:eastAsia="zh-CN"/>
    </w:rPr>
  </w:style>
  <w:style w:type="table" w:styleId="TableGrid">
    <w:name w:val="Table Grid"/>
    <w:basedOn w:val="TableNormal"/>
    <w:uiPriority w:val="59"/>
    <w:rsid w:val="00D65CF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5CF7"/>
    <w:rPr>
      <w:sz w:val="16"/>
      <w:szCs w:val="16"/>
    </w:rPr>
  </w:style>
  <w:style w:type="paragraph" w:styleId="CommentText">
    <w:name w:val="annotation text"/>
    <w:basedOn w:val="Normal"/>
    <w:link w:val="CommentTextChar"/>
    <w:uiPriority w:val="99"/>
    <w:semiHidden/>
    <w:unhideWhenUsed/>
    <w:rsid w:val="00D65CF7"/>
    <w:pPr>
      <w:spacing w:line="240" w:lineRule="auto"/>
    </w:pPr>
    <w:rPr>
      <w:sz w:val="20"/>
      <w:szCs w:val="20"/>
    </w:rPr>
  </w:style>
  <w:style w:type="character" w:customStyle="1" w:styleId="CommentTextChar">
    <w:name w:val="Comment Text Char"/>
    <w:basedOn w:val="DefaultParagraphFont"/>
    <w:link w:val="CommentText"/>
    <w:uiPriority w:val="99"/>
    <w:semiHidden/>
    <w:rsid w:val="00D65CF7"/>
    <w:rPr>
      <w:rFonts w:ascii="Times New Roman" w:eastAsiaTheme="minorEastAsia" w:hAnsi="Times New Roman"/>
      <w:sz w:val="20"/>
      <w:szCs w:val="20"/>
      <w:lang w:eastAsia="zh-CN"/>
    </w:rPr>
  </w:style>
  <w:style w:type="paragraph" w:styleId="BalloonText">
    <w:name w:val="Balloon Text"/>
    <w:basedOn w:val="Normal"/>
    <w:link w:val="BalloonTextChar"/>
    <w:uiPriority w:val="99"/>
    <w:semiHidden/>
    <w:unhideWhenUsed/>
    <w:rsid w:val="00D65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F7"/>
    <w:rPr>
      <w:rFonts w:ascii="Tahoma" w:eastAsiaTheme="minorEastAsia" w:hAnsi="Tahoma" w:cs="Tahoma"/>
      <w:sz w:val="16"/>
      <w:szCs w:val="16"/>
      <w:lang w:eastAsia="zh-CN"/>
    </w:rPr>
  </w:style>
  <w:style w:type="paragraph" w:styleId="Header">
    <w:name w:val="header"/>
    <w:basedOn w:val="Normal"/>
    <w:link w:val="HeaderChar"/>
    <w:uiPriority w:val="99"/>
    <w:unhideWhenUsed/>
    <w:rsid w:val="001E5DBD"/>
    <w:pPr>
      <w:tabs>
        <w:tab w:val="center" w:pos="4703"/>
        <w:tab w:val="right" w:pos="9406"/>
      </w:tabs>
      <w:spacing w:after="0" w:line="240" w:lineRule="auto"/>
    </w:pPr>
  </w:style>
  <w:style w:type="character" w:customStyle="1" w:styleId="HeaderChar">
    <w:name w:val="Header Char"/>
    <w:basedOn w:val="DefaultParagraphFont"/>
    <w:link w:val="Header"/>
    <w:uiPriority w:val="99"/>
    <w:rsid w:val="001E5DBD"/>
    <w:rPr>
      <w:rFonts w:ascii="Times New Roman" w:eastAsiaTheme="minorEastAsia" w:hAnsi="Times New Roman"/>
      <w:lang w:eastAsia="zh-CN"/>
    </w:rPr>
  </w:style>
  <w:style w:type="paragraph" w:styleId="Footer">
    <w:name w:val="footer"/>
    <w:basedOn w:val="Normal"/>
    <w:link w:val="FooterChar"/>
    <w:uiPriority w:val="99"/>
    <w:unhideWhenUsed/>
    <w:rsid w:val="001E5DB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E5DBD"/>
    <w:rPr>
      <w:rFonts w:ascii="Times New Roman" w:eastAsiaTheme="minorEastAsia" w:hAnsi="Times New Roman"/>
      <w:lang w:eastAsia="zh-CN"/>
    </w:rPr>
  </w:style>
  <w:style w:type="paragraph" w:styleId="CommentSubject">
    <w:name w:val="annotation subject"/>
    <w:basedOn w:val="CommentText"/>
    <w:next w:val="CommentText"/>
    <w:link w:val="CommentSubjectChar"/>
    <w:uiPriority w:val="99"/>
    <w:semiHidden/>
    <w:unhideWhenUsed/>
    <w:rsid w:val="00B95B6D"/>
    <w:rPr>
      <w:b/>
      <w:bCs/>
    </w:rPr>
  </w:style>
  <w:style w:type="character" w:customStyle="1" w:styleId="CommentSubjectChar">
    <w:name w:val="Comment Subject Char"/>
    <w:basedOn w:val="CommentTextChar"/>
    <w:link w:val="CommentSubject"/>
    <w:uiPriority w:val="99"/>
    <w:semiHidden/>
    <w:rsid w:val="00B95B6D"/>
    <w:rPr>
      <w:rFonts w:ascii="Times New Roman" w:eastAsiaTheme="minorEastAsia" w:hAnsi="Times New Roman"/>
      <w:b/>
      <w:bCs/>
      <w:sz w:val="20"/>
      <w:szCs w:val="20"/>
      <w:lang w:eastAsia="zh-CN"/>
    </w:rPr>
  </w:style>
  <w:style w:type="character" w:styleId="Hyperlink">
    <w:name w:val="Hyperlink"/>
    <w:basedOn w:val="DefaultParagraphFont"/>
    <w:uiPriority w:val="99"/>
    <w:unhideWhenUsed/>
    <w:rsid w:val="009D3F4B"/>
    <w:rPr>
      <w:color w:val="0000FF" w:themeColor="hyperlink"/>
      <w:u w:val="single"/>
    </w:rPr>
  </w:style>
  <w:style w:type="paragraph" w:customStyle="1" w:styleId="Default">
    <w:name w:val="Default"/>
    <w:basedOn w:val="Normal"/>
    <w:rsid w:val="00A9212B"/>
    <w:pPr>
      <w:autoSpaceDE w:val="0"/>
      <w:autoSpaceDN w:val="0"/>
      <w:spacing w:after="0" w:line="240" w:lineRule="auto"/>
    </w:pPr>
    <w:rPr>
      <w:rFonts w:cs="Times New Roman"/>
      <w:color w:val="000000"/>
      <w:sz w:val="24"/>
      <w:szCs w:val="24"/>
      <w:lang w:val="sv-SE" w:eastAsia="en-US"/>
    </w:rPr>
  </w:style>
  <w:style w:type="paragraph" w:styleId="Revision">
    <w:name w:val="Revision"/>
    <w:hidden/>
    <w:uiPriority w:val="99"/>
    <w:semiHidden/>
    <w:rsid w:val="00C73152"/>
    <w:pPr>
      <w:spacing w:after="0" w:line="240" w:lineRule="auto"/>
    </w:pPr>
    <w:rPr>
      <w:rFonts w:ascii="Times New Roman" w:eastAsiaTheme="minorEastAsia" w:hAnsi="Times New Roman"/>
      <w:lang w:eastAsia="zh-CN"/>
    </w:rPr>
  </w:style>
  <w:style w:type="paragraph" w:customStyle="1" w:styleId="nasdaqsubhead">
    <w:name w:val="nasdaq subhead"/>
    <w:basedOn w:val="Heading3"/>
    <w:link w:val="nasdaqsubheadChar"/>
    <w:qFormat/>
    <w:rsid w:val="007134AA"/>
    <w:pPr>
      <w:keepNext w:val="0"/>
      <w:keepLines w:val="0"/>
      <w:spacing w:before="360" w:after="120" w:line="240" w:lineRule="auto"/>
      <w:ind w:left="-720"/>
      <w:contextualSpacing/>
    </w:pPr>
    <w:rPr>
      <w:rFonts w:ascii="Calibri" w:eastAsia="Arial" w:hAnsi="Calibri" w:cs="Times New Roman"/>
      <w:b/>
      <w:caps/>
      <w:color w:val="0092BC"/>
      <w:spacing w:val="-4"/>
      <w:sz w:val="22"/>
      <w:szCs w:val="20"/>
      <w:lang w:eastAsia="sv-SE"/>
    </w:rPr>
  </w:style>
  <w:style w:type="character" w:customStyle="1" w:styleId="nasdaqsubheadChar">
    <w:name w:val="nasdaq subhead Char"/>
    <w:basedOn w:val="DefaultParagraphFont"/>
    <w:link w:val="nasdaqsubhead"/>
    <w:rsid w:val="007134AA"/>
    <w:rPr>
      <w:rFonts w:ascii="Calibri" w:eastAsia="Arial" w:hAnsi="Calibri" w:cs="Times New Roman"/>
      <w:b/>
      <w:caps/>
      <w:color w:val="0092BC"/>
      <w:spacing w:val="-4"/>
      <w:szCs w:val="20"/>
      <w:lang w:eastAsia="sv-SE"/>
    </w:rPr>
  </w:style>
  <w:style w:type="character" w:customStyle="1" w:styleId="Heading3Char">
    <w:name w:val="Heading 3 Char"/>
    <w:basedOn w:val="DefaultParagraphFont"/>
    <w:link w:val="Heading3"/>
    <w:uiPriority w:val="9"/>
    <w:semiHidden/>
    <w:rsid w:val="007134AA"/>
    <w:rPr>
      <w:rFonts w:asciiTheme="majorHAnsi" w:eastAsiaTheme="majorEastAsia" w:hAnsiTheme="majorHAnsi" w:cstheme="majorBidi"/>
      <w:color w:val="243F60" w:themeColor="accent1" w:themeShade="7F"/>
      <w:sz w:val="24"/>
      <w:szCs w:val="24"/>
      <w:lang w:eastAsia="zh-CN"/>
    </w:rPr>
  </w:style>
  <w:style w:type="paragraph" w:styleId="ListParagraph">
    <w:name w:val="List Paragraph"/>
    <w:basedOn w:val="Normal"/>
    <w:uiPriority w:val="34"/>
    <w:qFormat/>
    <w:rsid w:val="00E80E89"/>
    <w:pPr>
      <w:ind w:left="720"/>
      <w:contextualSpacing/>
    </w:pPr>
  </w:style>
  <w:style w:type="paragraph" w:styleId="NormalWeb">
    <w:name w:val="Normal (Web)"/>
    <w:basedOn w:val="Normal"/>
    <w:uiPriority w:val="99"/>
    <w:semiHidden/>
    <w:unhideWhenUsed/>
    <w:rsid w:val="00DA206B"/>
    <w:pPr>
      <w:spacing w:before="100" w:beforeAutospacing="1" w:after="100" w:afterAutospacing="1" w:line="240" w:lineRule="auto"/>
    </w:pPr>
    <w:rPr>
      <w:rFonts w:eastAsiaTheme="minorHAnsi" w:cs="Times New Roman"/>
      <w:sz w:val="24"/>
      <w:szCs w:val="24"/>
      <w:lang w:val="sv-SE" w:eastAsia="ko-KR"/>
    </w:rPr>
  </w:style>
  <w:style w:type="numbering" w:customStyle="1" w:styleId="AppendicesList">
    <w:name w:val="Appendices List"/>
    <w:uiPriority w:val="99"/>
    <w:rsid w:val="002239E8"/>
    <w:pPr>
      <w:numPr>
        <w:numId w:val="3"/>
      </w:numPr>
    </w:pPr>
  </w:style>
  <w:style w:type="paragraph" w:customStyle="1" w:styleId="HeadingA1">
    <w:name w:val="Heading A1"/>
    <w:basedOn w:val="Heading1"/>
    <w:next w:val="BodyText"/>
    <w:uiPriority w:val="11"/>
    <w:qFormat/>
    <w:rsid w:val="002239E8"/>
    <w:pPr>
      <w:numPr>
        <w:numId w:val="4"/>
      </w:numPr>
      <w:tabs>
        <w:tab w:val="num" w:pos="360"/>
      </w:tabs>
      <w:spacing w:before="0" w:after="200" w:line="240" w:lineRule="auto"/>
      <w:ind w:left="0" w:firstLine="0"/>
    </w:pPr>
    <w:rPr>
      <w:rFonts w:ascii="Arial" w:hAnsi="Arial"/>
      <w:b w:val="0"/>
      <w:bCs w:val="0"/>
      <w:caps w:val="0"/>
      <w:sz w:val="32"/>
      <w:szCs w:val="32"/>
      <w:lang w:eastAsia="en-US"/>
    </w:rPr>
  </w:style>
  <w:style w:type="paragraph" w:customStyle="1" w:styleId="HeadingA2">
    <w:name w:val="Heading A2"/>
    <w:basedOn w:val="Heading2"/>
    <w:next w:val="BodyText"/>
    <w:uiPriority w:val="11"/>
    <w:qFormat/>
    <w:rsid w:val="002239E8"/>
    <w:pPr>
      <w:numPr>
        <w:ilvl w:val="1"/>
        <w:numId w:val="4"/>
      </w:numPr>
      <w:tabs>
        <w:tab w:val="num" w:pos="360"/>
      </w:tabs>
      <w:spacing w:before="0" w:after="200" w:line="240" w:lineRule="auto"/>
      <w:ind w:left="0" w:firstLine="0"/>
    </w:pPr>
    <w:rPr>
      <w:rFonts w:ascii="Arial" w:hAnsi="Arial"/>
      <w:color w:val="auto"/>
      <w:sz w:val="28"/>
      <w:szCs w:val="28"/>
      <w:lang w:eastAsia="en-US"/>
    </w:rPr>
  </w:style>
  <w:style w:type="paragraph" w:customStyle="1" w:styleId="HeadingA3">
    <w:name w:val="Heading A3"/>
    <w:basedOn w:val="Heading3"/>
    <w:next w:val="BodyText"/>
    <w:uiPriority w:val="11"/>
    <w:rsid w:val="002239E8"/>
    <w:pPr>
      <w:numPr>
        <w:ilvl w:val="2"/>
        <w:numId w:val="4"/>
      </w:numPr>
      <w:tabs>
        <w:tab w:val="num" w:pos="360"/>
      </w:tabs>
      <w:spacing w:before="0" w:after="200" w:line="240" w:lineRule="auto"/>
      <w:ind w:left="0" w:firstLine="0"/>
    </w:pPr>
    <w:rPr>
      <w:color w:val="auto"/>
      <w:sz w:val="28"/>
      <w:szCs w:val="28"/>
      <w:lang w:eastAsia="en-US"/>
    </w:rPr>
  </w:style>
  <w:style w:type="paragraph" w:customStyle="1" w:styleId="HeadingA4">
    <w:name w:val="Heading A4"/>
    <w:basedOn w:val="Heading4"/>
    <w:next w:val="BodyText"/>
    <w:uiPriority w:val="11"/>
    <w:semiHidden/>
    <w:unhideWhenUsed/>
    <w:rsid w:val="002239E8"/>
    <w:pPr>
      <w:numPr>
        <w:ilvl w:val="3"/>
        <w:numId w:val="4"/>
      </w:numPr>
      <w:tabs>
        <w:tab w:val="num" w:pos="360"/>
      </w:tabs>
      <w:spacing w:before="0" w:after="200" w:line="240" w:lineRule="auto"/>
      <w:ind w:left="0" w:firstLine="0"/>
    </w:pPr>
    <w:rPr>
      <w:b/>
      <w:bCs/>
      <w:i w:val="0"/>
      <w:iCs w:val="0"/>
      <w:color w:val="auto"/>
      <w:sz w:val="24"/>
      <w:szCs w:val="24"/>
      <w:lang w:eastAsia="en-US"/>
    </w:rPr>
  </w:style>
  <w:style w:type="paragraph" w:customStyle="1" w:styleId="HeadingA5">
    <w:name w:val="Heading A5"/>
    <w:basedOn w:val="Heading5"/>
    <w:next w:val="BodyText"/>
    <w:uiPriority w:val="11"/>
    <w:semiHidden/>
    <w:unhideWhenUsed/>
    <w:rsid w:val="002239E8"/>
    <w:pPr>
      <w:numPr>
        <w:ilvl w:val="4"/>
        <w:numId w:val="4"/>
      </w:numPr>
      <w:tabs>
        <w:tab w:val="num" w:pos="360"/>
      </w:tabs>
      <w:spacing w:before="0" w:after="200" w:line="240" w:lineRule="auto"/>
      <w:ind w:left="0" w:firstLine="0"/>
    </w:pPr>
    <w:rPr>
      <w:color w:val="auto"/>
      <w:sz w:val="24"/>
      <w:szCs w:val="24"/>
      <w:lang w:eastAsia="en-US"/>
    </w:rPr>
  </w:style>
  <w:style w:type="paragraph" w:customStyle="1" w:styleId="HeadingA6">
    <w:name w:val="Heading A6"/>
    <w:basedOn w:val="Heading6"/>
    <w:next w:val="BodyText"/>
    <w:uiPriority w:val="11"/>
    <w:semiHidden/>
    <w:unhideWhenUsed/>
    <w:rsid w:val="002239E8"/>
    <w:pPr>
      <w:numPr>
        <w:ilvl w:val="5"/>
        <w:numId w:val="4"/>
      </w:numPr>
      <w:tabs>
        <w:tab w:val="num" w:pos="360"/>
      </w:tabs>
      <w:spacing w:before="0" w:after="200" w:line="240" w:lineRule="auto"/>
      <w:ind w:left="0" w:firstLine="0"/>
    </w:pPr>
    <w:rPr>
      <w:color w:val="auto"/>
      <w:sz w:val="24"/>
      <w:szCs w:val="24"/>
      <w:lang w:eastAsia="en-US"/>
    </w:rPr>
  </w:style>
  <w:style w:type="paragraph" w:customStyle="1" w:styleId="HeadingA7">
    <w:name w:val="Heading A7"/>
    <w:basedOn w:val="Heading7"/>
    <w:next w:val="BodyText"/>
    <w:uiPriority w:val="11"/>
    <w:semiHidden/>
    <w:unhideWhenUsed/>
    <w:rsid w:val="002239E8"/>
    <w:pPr>
      <w:numPr>
        <w:ilvl w:val="6"/>
        <w:numId w:val="4"/>
      </w:numPr>
      <w:tabs>
        <w:tab w:val="num" w:pos="360"/>
      </w:tabs>
      <w:spacing w:before="0" w:after="200" w:line="240" w:lineRule="auto"/>
      <w:ind w:left="0" w:firstLine="0"/>
    </w:pPr>
    <w:rPr>
      <w:i w:val="0"/>
      <w:iCs w:val="0"/>
      <w:color w:val="auto"/>
      <w:sz w:val="24"/>
      <w:szCs w:val="24"/>
      <w:lang w:eastAsia="en-US"/>
    </w:rPr>
  </w:style>
  <w:style w:type="paragraph" w:customStyle="1" w:styleId="HeadingA8">
    <w:name w:val="Heading A8"/>
    <w:basedOn w:val="Heading8"/>
    <w:next w:val="BodyText"/>
    <w:uiPriority w:val="11"/>
    <w:semiHidden/>
    <w:unhideWhenUsed/>
    <w:rsid w:val="002239E8"/>
    <w:pPr>
      <w:numPr>
        <w:ilvl w:val="7"/>
        <w:numId w:val="4"/>
      </w:numPr>
      <w:tabs>
        <w:tab w:val="num" w:pos="360"/>
      </w:tabs>
      <w:spacing w:before="0" w:after="200" w:line="240" w:lineRule="auto"/>
      <w:ind w:left="0" w:firstLine="0"/>
    </w:pPr>
    <w:rPr>
      <w:color w:val="auto"/>
      <w:sz w:val="24"/>
      <w:szCs w:val="24"/>
      <w:lang w:eastAsia="en-US"/>
    </w:rPr>
  </w:style>
  <w:style w:type="paragraph" w:customStyle="1" w:styleId="HeadingA9">
    <w:name w:val="Heading A9"/>
    <w:basedOn w:val="Heading9"/>
    <w:next w:val="BodyText"/>
    <w:uiPriority w:val="11"/>
    <w:semiHidden/>
    <w:unhideWhenUsed/>
    <w:rsid w:val="002239E8"/>
    <w:pPr>
      <w:numPr>
        <w:ilvl w:val="8"/>
        <w:numId w:val="4"/>
      </w:numPr>
      <w:tabs>
        <w:tab w:val="num" w:pos="360"/>
      </w:tabs>
      <w:spacing w:before="0" w:after="200" w:line="240" w:lineRule="auto"/>
      <w:ind w:left="0" w:firstLine="0"/>
    </w:pPr>
    <w:rPr>
      <w:i w:val="0"/>
      <w:iCs w:val="0"/>
      <w:color w:val="auto"/>
      <w:sz w:val="24"/>
      <w:szCs w:val="24"/>
      <w:lang w:eastAsia="en-US"/>
    </w:rPr>
  </w:style>
  <w:style w:type="paragraph" w:styleId="BodyText">
    <w:name w:val="Body Text"/>
    <w:basedOn w:val="Normal"/>
    <w:link w:val="BodyTextChar"/>
    <w:uiPriority w:val="99"/>
    <w:unhideWhenUsed/>
    <w:rsid w:val="002239E8"/>
    <w:pPr>
      <w:spacing w:after="120"/>
    </w:pPr>
  </w:style>
  <w:style w:type="character" w:customStyle="1" w:styleId="BodyTextChar">
    <w:name w:val="Body Text Char"/>
    <w:basedOn w:val="DefaultParagraphFont"/>
    <w:link w:val="BodyText"/>
    <w:uiPriority w:val="99"/>
    <w:rsid w:val="002239E8"/>
    <w:rPr>
      <w:rFonts w:ascii="Times New Roman" w:eastAsiaTheme="minorEastAsia" w:hAnsi="Times New Roman"/>
      <w:lang w:eastAsia="zh-CN"/>
    </w:rPr>
  </w:style>
  <w:style w:type="character" w:customStyle="1" w:styleId="Heading4Char">
    <w:name w:val="Heading 4 Char"/>
    <w:basedOn w:val="DefaultParagraphFont"/>
    <w:link w:val="Heading4"/>
    <w:uiPriority w:val="9"/>
    <w:semiHidden/>
    <w:rsid w:val="002239E8"/>
    <w:rPr>
      <w:rFonts w:asciiTheme="majorHAnsi" w:eastAsiaTheme="majorEastAsia" w:hAnsiTheme="majorHAnsi" w:cstheme="majorBidi"/>
      <w:i/>
      <w:iCs/>
      <w:color w:val="365F91" w:themeColor="accent1" w:themeShade="BF"/>
      <w:lang w:eastAsia="zh-CN"/>
    </w:rPr>
  </w:style>
  <w:style w:type="character" w:customStyle="1" w:styleId="Heading5Char">
    <w:name w:val="Heading 5 Char"/>
    <w:basedOn w:val="DefaultParagraphFont"/>
    <w:link w:val="Heading5"/>
    <w:uiPriority w:val="9"/>
    <w:semiHidden/>
    <w:rsid w:val="002239E8"/>
    <w:rPr>
      <w:rFonts w:asciiTheme="majorHAnsi" w:eastAsiaTheme="majorEastAsia" w:hAnsiTheme="majorHAnsi" w:cstheme="majorBidi"/>
      <w:color w:val="365F91" w:themeColor="accent1" w:themeShade="BF"/>
      <w:lang w:eastAsia="zh-CN"/>
    </w:rPr>
  </w:style>
  <w:style w:type="character" w:customStyle="1" w:styleId="Heading6Char">
    <w:name w:val="Heading 6 Char"/>
    <w:basedOn w:val="DefaultParagraphFont"/>
    <w:link w:val="Heading6"/>
    <w:uiPriority w:val="9"/>
    <w:semiHidden/>
    <w:rsid w:val="002239E8"/>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uiPriority w:val="9"/>
    <w:semiHidden/>
    <w:rsid w:val="002239E8"/>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2239E8"/>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2239E8"/>
    <w:rPr>
      <w:rFonts w:asciiTheme="majorHAnsi" w:eastAsiaTheme="majorEastAsia" w:hAnsiTheme="majorHAnsi" w:cstheme="majorBidi"/>
      <w:i/>
      <w:iCs/>
      <w:color w:val="272727" w:themeColor="text1" w:themeTint="D8"/>
      <w:sz w:val="21"/>
      <w:szCs w:val="21"/>
      <w:lang w:eastAsia="zh-CN"/>
    </w:rPr>
  </w:style>
  <w:style w:type="paragraph" w:styleId="Caption">
    <w:name w:val="caption"/>
    <w:basedOn w:val="BodyText"/>
    <w:next w:val="BodyText"/>
    <w:uiPriority w:val="1"/>
    <w:qFormat/>
    <w:rsid w:val="002239E8"/>
    <w:pPr>
      <w:keepNext/>
      <w:keepLines/>
      <w:pBdr>
        <w:bottom w:val="single" w:sz="6" w:space="1" w:color="9BBB59" w:themeColor="accent3"/>
      </w:pBdr>
      <w:spacing w:before="120" w:after="240" w:line="240" w:lineRule="auto"/>
    </w:pPr>
    <w:rPr>
      <w:rFonts w:asciiTheme="minorHAnsi" w:eastAsiaTheme="minorHAnsi" w:hAnsiTheme="minorHAnsi"/>
      <w:lang w:eastAsia="en-US"/>
    </w:rPr>
  </w:style>
  <w:style w:type="paragraph" w:customStyle="1" w:styleId="TableHeadingText">
    <w:name w:val="Table Heading Text"/>
    <w:link w:val="TableHeadingTextChar"/>
    <w:uiPriority w:val="30"/>
    <w:qFormat/>
    <w:rsid w:val="002239E8"/>
    <w:pPr>
      <w:keepLines/>
      <w:spacing w:before="40" w:after="40" w:line="240" w:lineRule="auto"/>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rsid w:val="002239E8"/>
    <w:pPr>
      <w:spacing w:before="40" w:after="40" w:line="240" w:lineRule="auto"/>
    </w:pPr>
    <w:rPr>
      <w:sz w:val="20"/>
      <w:szCs w:val="20"/>
    </w:rPr>
  </w:style>
  <w:style w:type="character" w:customStyle="1" w:styleId="TableHeadingTextChar">
    <w:name w:val="Table Heading Text Char"/>
    <w:basedOn w:val="DefaultParagraphFont"/>
    <w:link w:val="TableHeadingText"/>
    <w:uiPriority w:val="30"/>
    <w:rsid w:val="002239E8"/>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sid w:val="002239E8"/>
    <w:rPr>
      <w:sz w:val="20"/>
      <w:szCs w:val="20"/>
    </w:rPr>
  </w:style>
  <w:style w:type="character" w:styleId="FootnoteReference">
    <w:name w:val="footnote reference"/>
    <w:basedOn w:val="DefaultParagraphFont"/>
    <w:uiPriority w:val="34"/>
    <w:rsid w:val="002239E8"/>
    <w:rPr>
      <w:vertAlign w:val="superscript"/>
    </w:rPr>
  </w:style>
  <w:style w:type="paragraph" w:styleId="FootnoteText">
    <w:name w:val="footnote text"/>
    <w:basedOn w:val="Normal"/>
    <w:link w:val="FootnoteTextChar"/>
    <w:uiPriority w:val="34"/>
    <w:rsid w:val="002239E8"/>
    <w:pPr>
      <w:spacing w:after="120" w:line="240" w:lineRule="auto"/>
      <w:ind w:left="115" w:hanging="115"/>
    </w:pPr>
    <w:rPr>
      <w:rFonts w:asciiTheme="minorHAnsi" w:hAnsiTheme="minorHAnsi"/>
      <w:sz w:val="18"/>
      <w:szCs w:val="20"/>
      <w:lang w:eastAsia="ja-JP"/>
    </w:rPr>
  </w:style>
  <w:style w:type="character" w:customStyle="1" w:styleId="FootnoteTextChar">
    <w:name w:val="Footnote Text Char"/>
    <w:basedOn w:val="DefaultParagraphFont"/>
    <w:link w:val="FootnoteText"/>
    <w:uiPriority w:val="34"/>
    <w:rsid w:val="002239E8"/>
    <w:rPr>
      <w:rFonts w:eastAsiaTheme="minorEastAsia"/>
      <w:sz w:val="18"/>
      <w:szCs w:val="20"/>
      <w:lang w:eastAsia="ja-JP"/>
    </w:rPr>
  </w:style>
  <w:style w:type="table" w:styleId="PlainTable1">
    <w:name w:val="Plain Table 1"/>
    <w:basedOn w:val="TableNormal"/>
    <w:uiPriority w:val="41"/>
    <w:rsid w:val="002239E8"/>
    <w:pPr>
      <w:spacing w:after="0" w:line="240" w:lineRule="auto"/>
      <w:jc w:val="both"/>
    </w:pPr>
    <w:rPr>
      <w:rFonts w:ascii="Times New Roman" w:hAnsi="Times New Roman" w:cs="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239E8"/>
    <w:rPr>
      <w:b/>
      <w:bCs/>
    </w:rPr>
  </w:style>
  <w:style w:type="table" w:customStyle="1" w:styleId="OWTable">
    <w:name w:val="OW Table"/>
    <w:basedOn w:val="TableNormal"/>
    <w:uiPriority w:val="99"/>
    <w:rsid w:val="002239E8"/>
    <w:pPr>
      <w:spacing w:before="40" w:after="40" w:line="240" w:lineRule="auto"/>
    </w:pPr>
    <w:rPr>
      <w:sz w:val="20"/>
      <w:szCs w:val="20"/>
    </w:rPr>
    <w:tblPr>
      <w:tblBorders>
        <w:bottom w:val="single" w:sz="4" w:space="0" w:color="8064A2" w:themeColor="accent4"/>
        <w:insideH w:val="single" w:sz="6" w:space="0" w:color="8064A2" w:themeColor="accent4"/>
      </w:tblBorders>
    </w:tblPr>
    <w:tblStylePr w:type="firstRow">
      <w:pPr>
        <w:jc w:val="left"/>
      </w:pPr>
      <w:rPr>
        <w:rFonts w:asciiTheme="majorHAnsi" w:eastAsiaTheme="majorEastAsia" w:hAnsiTheme="majorHAnsi" w:cstheme="majorBidi"/>
        <w:b/>
        <w:bCs/>
        <w:i w:val="0"/>
        <w:iCs w:val="0"/>
        <w:color w:val="auto"/>
        <w:sz w:val="20"/>
      </w:rPr>
      <w:tblPr/>
      <w:tcPr>
        <w:vAlign w:val="bottom"/>
      </w:tcPr>
    </w:tblStylePr>
    <w:tblStylePr w:type="lastRow">
      <w:rPr>
        <w:b/>
        <w:bCs/>
      </w:rPr>
    </w:tblStylePr>
    <w:tblStylePr w:type="firstCol">
      <w:rPr>
        <w:b w:val="0"/>
        <w:bCs/>
      </w:rPr>
    </w:tblStylePr>
  </w:style>
  <w:style w:type="paragraph" w:customStyle="1" w:styleId="MainText">
    <w:name w:val="Main Text"/>
    <w:basedOn w:val="Normal"/>
    <w:autoRedefine/>
    <w:qFormat/>
    <w:rsid w:val="00E33020"/>
    <w:pPr>
      <w:spacing w:line="240" w:lineRule="auto"/>
    </w:pPr>
    <w:rPr>
      <w:rFonts w:ascii="Cambria Math" w:eastAsia="Arial" w:hAnsi="Cambria Math"/>
      <w:spacing w:val="-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aring.risk@nasdaq.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EE810-FCB2-4D66-9455-103C7DED2882}">
  <ds:schemaRefs>
    <ds:schemaRef ds:uri="http://schemas.openxmlformats.org/officeDocument/2006/bibliography"/>
  </ds:schemaRefs>
</ds:datastoreItem>
</file>

<file path=docMetadata/LabelInfo.xml><?xml version="1.0" encoding="utf-8"?>
<clbl:labelList xmlns:clbl="http://schemas.microsoft.com/office/2020/mipLabelMetadata">
  <clbl:label id="{fe63fdbc-9223-49ac-a12c-b8ae101f8b2d}" enabled="1" method="Standard" siteId="{d0b75e95-684a-45e3-8d2d-53fa2a6a513f}" contentBits="2" removed="0"/>
</clbl:labelList>
</file>

<file path=docProps/app.xml><?xml version="1.0" encoding="utf-8"?>
<Properties xmlns="http://schemas.openxmlformats.org/officeDocument/2006/extended-properties" xmlns:vt="http://schemas.openxmlformats.org/officeDocument/2006/docPropsVTypes">
  <Template>Normal.dotm</Template>
  <TotalTime>241</TotalTime>
  <Pages>4</Pages>
  <Words>1203</Words>
  <Characters>6380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Kjersti Ulset</dc:creator>
  <cp:lastModifiedBy>Andreas Strandberg Kieri</cp:lastModifiedBy>
  <cp:revision>11</cp:revision>
  <cp:lastPrinted>2023-02-02T12:24:00Z</cp:lastPrinted>
  <dcterms:created xsi:type="dcterms:W3CDTF">2023-03-31T07:48:00Z</dcterms:created>
  <dcterms:modified xsi:type="dcterms:W3CDTF">2026-06-22T13:02:00Z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6c0c35b9,2b57164c,4c1b7d4f</vt:lpwstr>
  </property>
  <property fmtid="{D5CDD505-2E9C-101B-9397-08002B2CF9AE}" pid="3" name="ClassificationContentMarkingFooterFontProps">
    <vt:lpwstr>#000000,12,Calibri</vt:lpwstr>
  </property>
  <property fmtid="{D5CDD505-2E9C-101B-9397-08002B2CF9AE}" pid="4" name="ClassificationContentMarkingFooterText">
    <vt:lpwstr>Nasdaq - Internal Use: Distribution limited to Nasdaq personnel and authorized third parties subject to confidentiality obligations</vt:lpwstr>
  </property>
</Properties>
</file>