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8F8E" w14:textId="542AF30C" w:rsidR="00A27322" w:rsidRPr="00210160" w:rsidRDefault="00A27322" w:rsidP="00A27322">
      <w:r w:rsidRPr="00210160">
        <w:rPr>
          <w:noProof/>
          <w:lang w:val="en-US"/>
        </w:rPr>
        <w:drawing>
          <wp:inline distT="0" distB="0" distL="0" distR="0" wp14:anchorId="72DB3B9A" wp14:editId="5F65B559">
            <wp:extent cx="1562833" cy="445408"/>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daq_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4588" cy="457308"/>
                    </a:xfrm>
                    <a:prstGeom prst="rect">
                      <a:avLst/>
                    </a:prstGeom>
                  </pic:spPr>
                </pic:pic>
              </a:graphicData>
            </a:graphic>
          </wp:inline>
        </w:drawing>
      </w:r>
    </w:p>
    <w:p w14:paraId="07DCE67F" w14:textId="3812E232" w:rsidR="00A27322" w:rsidRPr="00210160" w:rsidRDefault="00563101" w:rsidP="00A27322">
      <w:pPr>
        <w:pStyle w:val="Title"/>
        <w:rPr>
          <w:lang w:val="en-US"/>
        </w:rPr>
      </w:pPr>
      <w:proofErr w:type="spellStart"/>
      <w:r w:rsidRPr="00210160">
        <w:rPr>
          <w:lang w:val="en-US"/>
        </w:rPr>
        <w:t>CCaR</w:t>
      </w:r>
      <w:proofErr w:type="spellEnd"/>
      <w:r w:rsidRPr="00210160">
        <w:rPr>
          <w:lang w:val="en-US"/>
        </w:rPr>
        <w:t xml:space="preserve"> </w:t>
      </w:r>
      <w:r w:rsidR="00124B1D" w:rsidRPr="00210160">
        <w:rPr>
          <w:lang w:val="en-US"/>
        </w:rPr>
        <w:t>M</w:t>
      </w:r>
      <w:r w:rsidRPr="00210160">
        <w:rPr>
          <w:lang w:val="en-US"/>
        </w:rPr>
        <w:t xml:space="preserve">odel </w:t>
      </w:r>
      <w:r w:rsidR="00A40488">
        <w:rPr>
          <w:lang w:val="en-US"/>
        </w:rPr>
        <w:t>Guidelines</w:t>
      </w:r>
    </w:p>
    <w:p w14:paraId="40835A8C" w14:textId="31A1FCEF" w:rsidR="00AA5C4F" w:rsidRPr="00210160" w:rsidRDefault="00AA5C4F" w:rsidP="00AA5C4F">
      <w:pPr>
        <w:rPr>
          <w:sz w:val="36"/>
          <w:szCs w:val="36"/>
        </w:rPr>
      </w:pPr>
    </w:p>
    <w:p w14:paraId="0A35807C" w14:textId="77777777" w:rsidR="00AA5C4F" w:rsidRPr="00210160" w:rsidRDefault="00AA5C4F" w:rsidP="00A27322"/>
    <w:p w14:paraId="418EBD6F" w14:textId="77777777" w:rsidR="00911164" w:rsidRPr="00210160" w:rsidRDefault="00911164" w:rsidP="00A27322"/>
    <w:p w14:paraId="1C06217F" w14:textId="77777777" w:rsidR="00911164" w:rsidRPr="00210160" w:rsidRDefault="00911164" w:rsidP="00A27322"/>
    <w:p w14:paraId="323FB445" w14:textId="77777777" w:rsidR="00A27322" w:rsidRPr="00210160" w:rsidRDefault="00A27322" w:rsidP="00A27322">
      <w:r w:rsidRPr="00210160">
        <w:rPr>
          <w:noProof/>
          <w:lang w:val="en-US"/>
        </w:rPr>
        <w:drawing>
          <wp:inline distT="0" distB="0" distL="0" distR="0" wp14:anchorId="5CD80D0E" wp14:editId="6779A7A7">
            <wp:extent cx="6134833" cy="16100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lai\Desktop\Nasdaq-Financial-Framework.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143465" cy="1612277"/>
                    </a:xfrm>
                    <a:prstGeom prst="rect">
                      <a:avLst/>
                    </a:prstGeom>
                    <a:noFill/>
                    <a:ln>
                      <a:noFill/>
                    </a:ln>
                  </pic:spPr>
                </pic:pic>
              </a:graphicData>
            </a:graphic>
          </wp:inline>
        </w:drawing>
      </w:r>
    </w:p>
    <w:p w14:paraId="27576B7D" w14:textId="24EF6B6F" w:rsidR="00A27322" w:rsidRPr="00210160" w:rsidRDefault="00CB2DDA" w:rsidP="00DA58F5">
      <w:pPr>
        <w:pStyle w:val="Category"/>
      </w:pPr>
      <w:sdt>
        <w:sdtPr>
          <w:alias w:val="Publish Date"/>
          <w:tag w:val="Publish Date"/>
          <w:id w:val="-1112430608"/>
          <w:dataBinding w:prefixMappings="xmlns:ns0='http://schemas.microsoft.com/office/2006/coverPageProps' " w:xpath="/ns0:CoverPageProperties[1]/ns0:PublishDate[1]" w:storeItemID="{55AF091B-3C7A-41E3-B477-F2FDAA23CFDA}"/>
          <w:date w:fullDate="2026-06-22T00:00:00Z">
            <w:dateFormat w:val="dd MMM yyyy"/>
            <w:lid w:val="en-AU"/>
            <w:storeMappedDataAs w:val="dateTime"/>
            <w:calendar w:val="gregorian"/>
          </w:date>
        </w:sdtPr>
        <w:sdtEndPr/>
        <w:sdtContent>
          <w:r w:rsidR="006C3DA7">
            <w:t>22 Jun 2026</w:t>
          </w:r>
        </w:sdtContent>
      </w:sdt>
    </w:p>
    <w:p w14:paraId="63506678" w14:textId="48AF2F9B" w:rsidR="00A27322" w:rsidRPr="00210160" w:rsidRDefault="00A27322" w:rsidP="00A27322">
      <w:pPr>
        <w:pStyle w:val="RevisionTitles"/>
        <w:ind w:left="0"/>
      </w:pPr>
    </w:p>
    <w:bookmarkStart w:id="0" w:name="_Ärendehantering_1" w:displacedByCustomXml="next"/>
    <w:bookmarkEnd w:id="0" w:displacedByCustomXml="next"/>
    <w:bookmarkStart w:id="1" w:name="_Inledning_och_författningsbestämmelser" w:displacedByCustomXml="next"/>
    <w:bookmarkEnd w:id="1" w:displacedByCustomXml="next"/>
    <w:bookmarkStart w:id="2" w:name="Inledning_och_författningsbestämmelser_1" w:displacedByCustomXml="next"/>
    <w:bookmarkEnd w:id="2" w:displacedByCustomXml="next"/>
    <w:sdt>
      <w:sdtPr>
        <w:rPr>
          <w:color w:val="auto"/>
          <w:sz w:val="22"/>
          <w:szCs w:val="20"/>
        </w:rPr>
        <w:id w:val="-880779487"/>
        <w:docPartObj>
          <w:docPartGallery w:val="Table of Contents"/>
          <w:docPartUnique/>
        </w:docPartObj>
      </w:sdtPr>
      <w:sdtEndPr>
        <w:rPr>
          <w:b/>
          <w:bCs/>
        </w:rPr>
      </w:sdtEndPr>
      <w:sdtContent>
        <w:p w14:paraId="50146E2A" w14:textId="7ED1300C" w:rsidR="00FF2862" w:rsidRPr="00210160" w:rsidRDefault="00FF2862" w:rsidP="00040E92">
          <w:pPr>
            <w:pStyle w:val="TOCHeading"/>
            <w:tabs>
              <w:tab w:val="left" w:pos="3706"/>
            </w:tabs>
            <w:ind w:left="0"/>
          </w:pPr>
          <w:r w:rsidRPr="00210160">
            <w:t>Table of Contents</w:t>
          </w:r>
          <w:r w:rsidR="00040E92" w:rsidRPr="00210160">
            <w:tab/>
          </w:r>
        </w:p>
        <w:p w14:paraId="334A192B" w14:textId="167993E3" w:rsidR="00677F11" w:rsidRDefault="00FF2862">
          <w:pPr>
            <w:pStyle w:val="TOC1"/>
            <w:tabs>
              <w:tab w:val="left" w:pos="440"/>
              <w:tab w:val="right" w:leader="dot" w:pos="9016"/>
            </w:tabs>
            <w:rPr>
              <w:rFonts w:cstheme="minorBidi"/>
              <w:noProof/>
              <w:kern w:val="2"/>
              <w:sz w:val="24"/>
              <w:szCs w:val="24"/>
              <w:lang w:val="sv-SE" w:eastAsia="sv-SE"/>
              <w14:ligatures w14:val="standardContextual"/>
            </w:rPr>
          </w:pPr>
          <w:r w:rsidRPr="00210160">
            <w:fldChar w:fldCharType="begin"/>
          </w:r>
          <w:r w:rsidRPr="00210160">
            <w:instrText xml:space="preserve"> TOC \o "1-2" \h \z \u </w:instrText>
          </w:r>
          <w:r w:rsidRPr="00210160">
            <w:fldChar w:fldCharType="separate"/>
          </w:r>
          <w:hyperlink w:anchor="_Toc233032371" w:history="1">
            <w:r w:rsidR="00677F11" w:rsidRPr="004C7625">
              <w:rPr>
                <w:rStyle w:val="Hyperlink"/>
                <w:rFonts w:cs="Calibri"/>
                <w:noProof/>
              </w:rPr>
              <w:t>1</w:t>
            </w:r>
            <w:r w:rsidR="00677F11">
              <w:rPr>
                <w:rFonts w:cstheme="minorBidi"/>
                <w:noProof/>
                <w:kern w:val="2"/>
                <w:sz w:val="24"/>
                <w:szCs w:val="24"/>
                <w:lang w:val="sv-SE" w:eastAsia="sv-SE"/>
                <w14:ligatures w14:val="standardContextual"/>
              </w:rPr>
              <w:tab/>
            </w:r>
            <w:r w:rsidR="00677F11" w:rsidRPr="004C7625">
              <w:rPr>
                <w:rStyle w:val="Hyperlink"/>
                <w:rFonts w:cs="Calibri"/>
                <w:noProof/>
              </w:rPr>
              <w:t>Model purpose and scope</w:t>
            </w:r>
            <w:r w:rsidR="00677F11">
              <w:rPr>
                <w:noProof/>
                <w:webHidden/>
              </w:rPr>
              <w:tab/>
            </w:r>
            <w:r w:rsidR="00677F11">
              <w:rPr>
                <w:noProof/>
                <w:webHidden/>
              </w:rPr>
              <w:fldChar w:fldCharType="begin"/>
            </w:r>
            <w:r w:rsidR="00677F11">
              <w:rPr>
                <w:noProof/>
                <w:webHidden/>
              </w:rPr>
              <w:instrText xml:space="preserve"> PAGEREF _Toc233032371 \h </w:instrText>
            </w:r>
            <w:r w:rsidR="00677F11">
              <w:rPr>
                <w:noProof/>
                <w:webHidden/>
              </w:rPr>
            </w:r>
            <w:r w:rsidR="00677F11">
              <w:rPr>
                <w:noProof/>
                <w:webHidden/>
              </w:rPr>
              <w:fldChar w:fldCharType="separate"/>
            </w:r>
            <w:r w:rsidR="00677F11">
              <w:rPr>
                <w:noProof/>
                <w:webHidden/>
              </w:rPr>
              <w:t>3</w:t>
            </w:r>
            <w:r w:rsidR="00677F11">
              <w:rPr>
                <w:noProof/>
                <w:webHidden/>
              </w:rPr>
              <w:fldChar w:fldCharType="end"/>
            </w:r>
          </w:hyperlink>
        </w:p>
        <w:p w14:paraId="3CB46136" w14:textId="012334A3"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72" w:history="1">
            <w:r w:rsidRPr="004C7625">
              <w:rPr>
                <w:rStyle w:val="Hyperlink"/>
                <w:noProof/>
              </w:rPr>
              <w:t>1.1</w:t>
            </w:r>
            <w:r>
              <w:rPr>
                <w:rFonts w:cstheme="minorBidi"/>
                <w:noProof/>
                <w:kern w:val="2"/>
                <w:sz w:val="24"/>
                <w:szCs w:val="24"/>
                <w:lang w:val="sv-SE" w:eastAsia="sv-SE"/>
                <w14:ligatures w14:val="standardContextual"/>
              </w:rPr>
              <w:tab/>
            </w:r>
            <w:r w:rsidRPr="004C7625">
              <w:rPr>
                <w:rStyle w:val="Hyperlink"/>
                <w:noProof/>
              </w:rPr>
              <w:t>Purpose of the CCaR model</w:t>
            </w:r>
            <w:r>
              <w:rPr>
                <w:noProof/>
                <w:webHidden/>
              </w:rPr>
              <w:tab/>
            </w:r>
            <w:r>
              <w:rPr>
                <w:noProof/>
                <w:webHidden/>
              </w:rPr>
              <w:fldChar w:fldCharType="begin"/>
            </w:r>
            <w:r>
              <w:rPr>
                <w:noProof/>
                <w:webHidden/>
              </w:rPr>
              <w:instrText xml:space="preserve"> PAGEREF _Toc233032372 \h </w:instrText>
            </w:r>
            <w:r>
              <w:rPr>
                <w:noProof/>
                <w:webHidden/>
              </w:rPr>
            </w:r>
            <w:r>
              <w:rPr>
                <w:noProof/>
                <w:webHidden/>
              </w:rPr>
              <w:fldChar w:fldCharType="separate"/>
            </w:r>
            <w:r>
              <w:rPr>
                <w:noProof/>
                <w:webHidden/>
              </w:rPr>
              <w:t>3</w:t>
            </w:r>
            <w:r>
              <w:rPr>
                <w:noProof/>
                <w:webHidden/>
              </w:rPr>
              <w:fldChar w:fldCharType="end"/>
            </w:r>
          </w:hyperlink>
        </w:p>
        <w:p w14:paraId="6F021F3E" w14:textId="27F31168"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73" w:history="1">
            <w:r w:rsidRPr="004C7625">
              <w:rPr>
                <w:rStyle w:val="Hyperlink"/>
                <w:rFonts w:cs="Calibri"/>
                <w:noProof/>
              </w:rPr>
              <w:t>1.2</w:t>
            </w:r>
            <w:r>
              <w:rPr>
                <w:rFonts w:cstheme="minorBidi"/>
                <w:noProof/>
                <w:kern w:val="2"/>
                <w:sz w:val="24"/>
                <w:szCs w:val="24"/>
                <w:lang w:val="sv-SE" w:eastAsia="sv-SE"/>
                <w14:ligatures w14:val="standardContextual"/>
              </w:rPr>
              <w:tab/>
            </w:r>
            <w:r w:rsidRPr="004C7625">
              <w:rPr>
                <w:rStyle w:val="Hyperlink"/>
                <w:rFonts w:cs="Calibri"/>
                <w:noProof/>
              </w:rPr>
              <w:t>Scope and model application</w:t>
            </w:r>
            <w:r>
              <w:rPr>
                <w:noProof/>
                <w:webHidden/>
              </w:rPr>
              <w:tab/>
            </w:r>
            <w:r>
              <w:rPr>
                <w:noProof/>
                <w:webHidden/>
              </w:rPr>
              <w:fldChar w:fldCharType="begin"/>
            </w:r>
            <w:r>
              <w:rPr>
                <w:noProof/>
                <w:webHidden/>
              </w:rPr>
              <w:instrText xml:space="preserve"> PAGEREF _Toc233032373 \h </w:instrText>
            </w:r>
            <w:r>
              <w:rPr>
                <w:noProof/>
                <w:webHidden/>
              </w:rPr>
            </w:r>
            <w:r>
              <w:rPr>
                <w:noProof/>
                <w:webHidden/>
              </w:rPr>
              <w:fldChar w:fldCharType="separate"/>
            </w:r>
            <w:r>
              <w:rPr>
                <w:noProof/>
                <w:webHidden/>
              </w:rPr>
              <w:t>3</w:t>
            </w:r>
            <w:r>
              <w:rPr>
                <w:noProof/>
                <w:webHidden/>
              </w:rPr>
              <w:fldChar w:fldCharType="end"/>
            </w:r>
          </w:hyperlink>
        </w:p>
        <w:p w14:paraId="3F758A6E" w14:textId="2C303EC1" w:rsidR="00677F11" w:rsidRDefault="00677F11">
          <w:pPr>
            <w:pStyle w:val="TOC1"/>
            <w:tabs>
              <w:tab w:val="left" w:pos="440"/>
              <w:tab w:val="right" w:leader="dot" w:pos="9016"/>
            </w:tabs>
            <w:rPr>
              <w:rFonts w:cstheme="minorBidi"/>
              <w:noProof/>
              <w:kern w:val="2"/>
              <w:sz w:val="24"/>
              <w:szCs w:val="24"/>
              <w:lang w:val="sv-SE" w:eastAsia="sv-SE"/>
              <w14:ligatures w14:val="standardContextual"/>
            </w:rPr>
          </w:pPr>
          <w:hyperlink w:anchor="_Toc233032374" w:history="1">
            <w:r w:rsidRPr="004C7625">
              <w:rPr>
                <w:rStyle w:val="Hyperlink"/>
                <w:noProof/>
              </w:rPr>
              <w:t>2</w:t>
            </w:r>
            <w:r>
              <w:rPr>
                <w:rFonts w:cstheme="minorBidi"/>
                <w:noProof/>
                <w:kern w:val="2"/>
                <w:sz w:val="24"/>
                <w:szCs w:val="24"/>
                <w:lang w:val="sv-SE" w:eastAsia="sv-SE"/>
                <w14:ligatures w14:val="standardContextual"/>
              </w:rPr>
              <w:tab/>
            </w:r>
            <w:r w:rsidRPr="004C7625">
              <w:rPr>
                <w:rStyle w:val="Hyperlink"/>
                <w:noProof/>
              </w:rPr>
              <w:t>Model overview</w:t>
            </w:r>
            <w:r>
              <w:rPr>
                <w:noProof/>
                <w:webHidden/>
              </w:rPr>
              <w:tab/>
            </w:r>
            <w:r>
              <w:rPr>
                <w:noProof/>
                <w:webHidden/>
              </w:rPr>
              <w:fldChar w:fldCharType="begin"/>
            </w:r>
            <w:r>
              <w:rPr>
                <w:noProof/>
                <w:webHidden/>
              </w:rPr>
              <w:instrText xml:space="preserve"> PAGEREF _Toc233032374 \h </w:instrText>
            </w:r>
            <w:r>
              <w:rPr>
                <w:noProof/>
                <w:webHidden/>
              </w:rPr>
            </w:r>
            <w:r>
              <w:rPr>
                <w:noProof/>
                <w:webHidden/>
              </w:rPr>
              <w:fldChar w:fldCharType="separate"/>
            </w:r>
            <w:r>
              <w:rPr>
                <w:noProof/>
                <w:webHidden/>
              </w:rPr>
              <w:t>4</w:t>
            </w:r>
            <w:r>
              <w:rPr>
                <w:noProof/>
                <w:webHidden/>
              </w:rPr>
              <w:fldChar w:fldCharType="end"/>
            </w:r>
          </w:hyperlink>
        </w:p>
        <w:p w14:paraId="1B4C7003" w14:textId="3E903DD2"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75" w:history="1">
            <w:r w:rsidRPr="004C7625">
              <w:rPr>
                <w:rStyle w:val="Hyperlink"/>
                <w:noProof/>
              </w:rPr>
              <w:t>2.1</w:t>
            </w:r>
            <w:r>
              <w:rPr>
                <w:rFonts w:cstheme="minorBidi"/>
                <w:noProof/>
                <w:kern w:val="2"/>
                <w:sz w:val="24"/>
                <w:szCs w:val="24"/>
                <w:lang w:val="sv-SE" w:eastAsia="sv-SE"/>
                <w14:ligatures w14:val="standardContextual"/>
              </w:rPr>
              <w:tab/>
            </w:r>
            <w:r w:rsidRPr="004C7625">
              <w:rPr>
                <w:rStyle w:val="Hyperlink"/>
                <w:noProof/>
              </w:rPr>
              <w:t>Model overview – inputs, outputs and use</w:t>
            </w:r>
            <w:r>
              <w:rPr>
                <w:noProof/>
                <w:webHidden/>
              </w:rPr>
              <w:tab/>
            </w:r>
            <w:r>
              <w:rPr>
                <w:noProof/>
                <w:webHidden/>
              </w:rPr>
              <w:fldChar w:fldCharType="begin"/>
            </w:r>
            <w:r>
              <w:rPr>
                <w:noProof/>
                <w:webHidden/>
              </w:rPr>
              <w:instrText xml:space="preserve"> PAGEREF _Toc233032375 \h </w:instrText>
            </w:r>
            <w:r>
              <w:rPr>
                <w:noProof/>
                <w:webHidden/>
              </w:rPr>
            </w:r>
            <w:r>
              <w:rPr>
                <w:noProof/>
                <w:webHidden/>
              </w:rPr>
              <w:fldChar w:fldCharType="separate"/>
            </w:r>
            <w:r>
              <w:rPr>
                <w:noProof/>
                <w:webHidden/>
              </w:rPr>
              <w:t>4</w:t>
            </w:r>
            <w:r>
              <w:rPr>
                <w:noProof/>
                <w:webHidden/>
              </w:rPr>
              <w:fldChar w:fldCharType="end"/>
            </w:r>
          </w:hyperlink>
        </w:p>
        <w:p w14:paraId="5E71D298" w14:textId="2E21CCD8"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76" w:history="1">
            <w:r w:rsidRPr="004C7625">
              <w:rPr>
                <w:rStyle w:val="Hyperlink"/>
                <w:noProof/>
              </w:rPr>
              <w:t>2.2</w:t>
            </w:r>
            <w:r>
              <w:rPr>
                <w:rFonts w:cstheme="minorBidi"/>
                <w:noProof/>
                <w:kern w:val="2"/>
                <w:sz w:val="24"/>
                <w:szCs w:val="24"/>
                <w:lang w:val="sv-SE" w:eastAsia="sv-SE"/>
                <w14:ligatures w14:val="standardContextual"/>
              </w:rPr>
              <w:tab/>
            </w:r>
            <w:r w:rsidRPr="004C7625">
              <w:rPr>
                <w:rStyle w:val="Hyperlink"/>
                <w:noProof/>
              </w:rPr>
              <w:t>Materiality/importance of the model</w:t>
            </w:r>
            <w:r>
              <w:rPr>
                <w:noProof/>
                <w:webHidden/>
              </w:rPr>
              <w:tab/>
            </w:r>
            <w:r>
              <w:rPr>
                <w:noProof/>
                <w:webHidden/>
              </w:rPr>
              <w:fldChar w:fldCharType="begin"/>
            </w:r>
            <w:r>
              <w:rPr>
                <w:noProof/>
                <w:webHidden/>
              </w:rPr>
              <w:instrText xml:space="preserve"> PAGEREF _Toc233032376 \h </w:instrText>
            </w:r>
            <w:r>
              <w:rPr>
                <w:noProof/>
                <w:webHidden/>
              </w:rPr>
            </w:r>
            <w:r>
              <w:rPr>
                <w:noProof/>
                <w:webHidden/>
              </w:rPr>
              <w:fldChar w:fldCharType="separate"/>
            </w:r>
            <w:r>
              <w:rPr>
                <w:noProof/>
                <w:webHidden/>
              </w:rPr>
              <w:t>5</w:t>
            </w:r>
            <w:r>
              <w:rPr>
                <w:noProof/>
                <w:webHidden/>
              </w:rPr>
              <w:fldChar w:fldCharType="end"/>
            </w:r>
          </w:hyperlink>
        </w:p>
        <w:p w14:paraId="4FA8F134" w14:textId="0C1E845F"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77" w:history="1">
            <w:r w:rsidRPr="004C7625">
              <w:rPr>
                <w:rStyle w:val="Hyperlink"/>
                <w:noProof/>
              </w:rPr>
              <w:t>2.3</w:t>
            </w:r>
            <w:r>
              <w:rPr>
                <w:rFonts w:cstheme="minorBidi"/>
                <w:noProof/>
                <w:kern w:val="2"/>
                <w:sz w:val="24"/>
                <w:szCs w:val="24"/>
                <w:lang w:val="sv-SE" w:eastAsia="sv-SE"/>
                <w14:ligatures w14:val="standardContextual"/>
              </w:rPr>
              <w:tab/>
            </w:r>
            <w:r w:rsidRPr="004C7625">
              <w:rPr>
                <w:rStyle w:val="Hyperlink"/>
                <w:noProof/>
              </w:rPr>
              <w:t>Platforms/Software/Vendor systems used</w:t>
            </w:r>
            <w:r>
              <w:rPr>
                <w:noProof/>
                <w:webHidden/>
              </w:rPr>
              <w:tab/>
            </w:r>
            <w:r>
              <w:rPr>
                <w:noProof/>
                <w:webHidden/>
              </w:rPr>
              <w:fldChar w:fldCharType="begin"/>
            </w:r>
            <w:r>
              <w:rPr>
                <w:noProof/>
                <w:webHidden/>
              </w:rPr>
              <w:instrText xml:space="preserve"> PAGEREF _Toc233032377 \h </w:instrText>
            </w:r>
            <w:r>
              <w:rPr>
                <w:noProof/>
                <w:webHidden/>
              </w:rPr>
            </w:r>
            <w:r>
              <w:rPr>
                <w:noProof/>
                <w:webHidden/>
              </w:rPr>
              <w:fldChar w:fldCharType="separate"/>
            </w:r>
            <w:r>
              <w:rPr>
                <w:noProof/>
                <w:webHidden/>
              </w:rPr>
              <w:t>5</w:t>
            </w:r>
            <w:r>
              <w:rPr>
                <w:noProof/>
                <w:webHidden/>
              </w:rPr>
              <w:fldChar w:fldCharType="end"/>
            </w:r>
          </w:hyperlink>
        </w:p>
        <w:p w14:paraId="1F3A2585" w14:textId="7DC1F158"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78" w:history="1">
            <w:r w:rsidRPr="004C7625">
              <w:rPr>
                <w:rStyle w:val="Hyperlink"/>
                <w:noProof/>
              </w:rPr>
              <w:t>2.4</w:t>
            </w:r>
            <w:r>
              <w:rPr>
                <w:rFonts w:cstheme="minorBidi"/>
                <w:noProof/>
                <w:kern w:val="2"/>
                <w:sz w:val="24"/>
                <w:szCs w:val="24"/>
                <w:lang w:val="sv-SE" w:eastAsia="sv-SE"/>
                <w14:ligatures w14:val="standardContextual"/>
              </w:rPr>
              <w:tab/>
            </w:r>
            <w:r w:rsidRPr="004C7625">
              <w:rPr>
                <w:rStyle w:val="Hyperlink"/>
                <w:noProof/>
              </w:rPr>
              <w:t>Outline of risk factors</w:t>
            </w:r>
            <w:r>
              <w:rPr>
                <w:noProof/>
                <w:webHidden/>
              </w:rPr>
              <w:tab/>
            </w:r>
            <w:r>
              <w:rPr>
                <w:noProof/>
                <w:webHidden/>
              </w:rPr>
              <w:fldChar w:fldCharType="begin"/>
            </w:r>
            <w:r>
              <w:rPr>
                <w:noProof/>
                <w:webHidden/>
              </w:rPr>
              <w:instrText xml:space="preserve"> PAGEREF _Toc233032378 \h </w:instrText>
            </w:r>
            <w:r>
              <w:rPr>
                <w:noProof/>
                <w:webHidden/>
              </w:rPr>
            </w:r>
            <w:r>
              <w:rPr>
                <w:noProof/>
                <w:webHidden/>
              </w:rPr>
              <w:fldChar w:fldCharType="separate"/>
            </w:r>
            <w:r>
              <w:rPr>
                <w:noProof/>
                <w:webHidden/>
              </w:rPr>
              <w:t>5</w:t>
            </w:r>
            <w:r>
              <w:rPr>
                <w:noProof/>
                <w:webHidden/>
              </w:rPr>
              <w:fldChar w:fldCharType="end"/>
            </w:r>
          </w:hyperlink>
        </w:p>
        <w:p w14:paraId="14BE19B0" w14:textId="0E5ADBCE" w:rsidR="00677F11" w:rsidRDefault="00677F11">
          <w:pPr>
            <w:pStyle w:val="TOC1"/>
            <w:tabs>
              <w:tab w:val="left" w:pos="440"/>
              <w:tab w:val="right" w:leader="dot" w:pos="9016"/>
            </w:tabs>
            <w:rPr>
              <w:rFonts w:cstheme="minorBidi"/>
              <w:noProof/>
              <w:kern w:val="2"/>
              <w:sz w:val="24"/>
              <w:szCs w:val="24"/>
              <w:lang w:val="sv-SE" w:eastAsia="sv-SE"/>
              <w14:ligatures w14:val="standardContextual"/>
            </w:rPr>
          </w:pPr>
          <w:hyperlink w:anchor="_Toc233032379" w:history="1">
            <w:r w:rsidRPr="004C7625">
              <w:rPr>
                <w:rStyle w:val="Hyperlink"/>
                <w:noProof/>
              </w:rPr>
              <w:t>3</w:t>
            </w:r>
            <w:r>
              <w:rPr>
                <w:rFonts w:cstheme="minorBidi"/>
                <w:noProof/>
                <w:kern w:val="2"/>
                <w:sz w:val="24"/>
                <w:szCs w:val="24"/>
                <w:lang w:val="sv-SE" w:eastAsia="sv-SE"/>
                <w14:ligatures w14:val="standardContextual"/>
              </w:rPr>
              <w:tab/>
            </w:r>
            <w:r w:rsidRPr="004C7625">
              <w:rPr>
                <w:rStyle w:val="Hyperlink"/>
                <w:noProof/>
              </w:rPr>
              <w:t>Stress exposure and risk factor identification</w:t>
            </w:r>
            <w:r>
              <w:rPr>
                <w:noProof/>
                <w:webHidden/>
              </w:rPr>
              <w:tab/>
            </w:r>
            <w:r>
              <w:rPr>
                <w:noProof/>
                <w:webHidden/>
              </w:rPr>
              <w:fldChar w:fldCharType="begin"/>
            </w:r>
            <w:r>
              <w:rPr>
                <w:noProof/>
                <w:webHidden/>
              </w:rPr>
              <w:instrText xml:space="preserve"> PAGEREF _Toc233032379 \h </w:instrText>
            </w:r>
            <w:r>
              <w:rPr>
                <w:noProof/>
                <w:webHidden/>
              </w:rPr>
            </w:r>
            <w:r>
              <w:rPr>
                <w:noProof/>
                <w:webHidden/>
              </w:rPr>
              <w:fldChar w:fldCharType="separate"/>
            </w:r>
            <w:r>
              <w:rPr>
                <w:noProof/>
                <w:webHidden/>
              </w:rPr>
              <w:t>7</w:t>
            </w:r>
            <w:r>
              <w:rPr>
                <w:noProof/>
                <w:webHidden/>
              </w:rPr>
              <w:fldChar w:fldCharType="end"/>
            </w:r>
          </w:hyperlink>
        </w:p>
        <w:p w14:paraId="5BEC3B85" w14:textId="31F0D0F7"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0" w:history="1">
            <w:r w:rsidRPr="004C7625">
              <w:rPr>
                <w:rStyle w:val="Hyperlink"/>
                <w:noProof/>
              </w:rPr>
              <w:t>3.1</w:t>
            </w:r>
            <w:r>
              <w:rPr>
                <w:rFonts w:cstheme="minorBidi"/>
                <w:noProof/>
                <w:kern w:val="2"/>
                <w:sz w:val="24"/>
                <w:szCs w:val="24"/>
                <w:lang w:val="sv-SE" w:eastAsia="sv-SE"/>
                <w14:ligatures w14:val="standardContextual"/>
              </w:rPr>
              <w:tab/>
            </w:r>
            <w:r w:rsidRPr="004C7625">
              <w:rPr>
                <w:rStyle w:val="Hyperlink"/>
                <w:noProof/>
              </w:rPr>
              <w:t>Types of credit stress exposure faced by the CCP</w:t>
            </w:r>
            <w:r>
              <w:rPr>
                <w:noProof/>
                <w:webHidden/>
              </w:rPr>
              <w:tab/>
            </w:r>
            <w:r>
              <w:rPr>
                <w:noProof/>
                <w:webHidden/>
              </w:rPr>
              <w:fldChar w:fldCharType="begin"/>
            </w:r>
            <w:r>
              <w:rPr>
                <w:noProof/>
                <w:webHidden/>
              </w:rPr>
              <w:instrText xml:space="preserve"> PAGEREF _Toc233032380 \h </w:instrText>
            </w:r>
            <w:r>
              <w:rPr>
                <w:noProof/>
                <w:webHidden/>
              </w:rPr>
            </w:r>
            <w:r>
              <w:rPr>
                <w:noProof/>
                <w:webHidden/>
              </w:rPr>
              <w:fldChar w:fldCharType="separate"/>
            </w:r>
            <w:r>
              <w:rPr>
                <w:noProof/>
                <w:webHidden/>
              </w:rPr>
              <w:t>7</w:t>
            </w:r>
            <w:r>
              <w:rPr>
                <w:noProof/>
                <w:webHidden/>
              </w:rPr>
              <w:fldChar w:fldCharType="end"/>
            </w:r>
          </w:hyperlink>
        </w:p>
        <w:p w14:paraId="10B43B34" w14:textId="11443C23"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1" w:history="1">
            <w:r w:rsidRPr="004C7625">
              <w:rPr>
                <w:rStyle w:val="Hyperlink"/>
                <w:rFonts w:cs="Calibri"/>
                <w:noProof/>
              </w:rPr>
              <w:t>3.2</w:t>
            </w:r>
            <w:r>
              <w:rPr>
                <w:rFonts w:cstheme="minorBidi"/>
                <w:noProof/>
                <w:kern w:val="2"/>
                <w:sz w:val="24"/>
                <w:szCs w:val="24"/>
                <w:lang w:val="sv-SE" w:eastAsia="sv-SE"/>
                <w14:ligatures w14:val="standardContextual"/>
              </w:rPr>
              <w:tab/>
            </w:r>
            <w:r w:rsidRPr="004C7625">
              <w:rPr>
                <w:rStyle w:val="Hyperlink"/>
                <w:rFonts w:cs="Calibri"/>
                <w:noProof/>
              </w:rPr>
              <w:t>Risk factors covered in the model</w:t>
            </w:r>
            <w:r>
              <w:rPr>
                <w:noProof/>
                <w:webHidden/>
              </w:rPr>
              <w:tab/>
            </w:r>
            <w:r>
              <w:rPr>
                <w:noProof/>
                <w:webHidden/>
              </w:rPr>
              <w:fldChar w:fldCharType="begin"/>
            </w:r>
            <w:r>
              <w:rPr>
                <w:noProof/>
                <w:webHidden/>
              </w:rPr>
              <w:instrText xml:space="preserve"> PAGEREF _Toc233032381 \h </w:instrText>
            </w:r>
            <w:r>
              <w:rPr>
                <w:noProof/>
                <w:webHidden/>
              </w:rPr>
            </w:r>
            <w:r>
              <w:rPr>
                <w:noProof/>
                <w:webHidden/>
              </w:rPr>
              <w:fldChar w:fldCharType="separate"/>
            </w:r>
            <w:r>
              <w:rPr>
                <w:noProof/>
                <w:webHidden/>
              </w:rPr>
              <w:t>7</w:t>
            </w:r>
            <w:r>
              <w:rPr>
                <w:noProof/>
                <w:webHidden/>
              </w:rPr>
              <w:fldChar w:fldCharType="end"/>
            </w:r>
          </w:hyperlink>
        </w:p>
        <w:p w14:paraId="6D500438" w14:textId="51078592" w:rsidR="00677F11" w:rsidRDefault="00677F11">
          <w:pPr>
            <w:pStyle w:val="TOC1"/>
            <w:tabs>
              <w:tab w:val="left" w:pos="440"/>
              <w:tab w:val="right" w:leader="dot" w:pos="9016"/>
            </w:tabs>
            <w:rPr>
              <w:rFonts w:cstheme="minorBidi"/>
              <w:noProof/>
              <w:kern w:val="2"/>
              <w:sz w:val="24"/>
              <w:szCs w:val="24"/>
              <w:lang w:val="sv-SE" w:eastAsia="sv-SE"/>
              <w14:ligatures w14:val="standardContextual"/>
            </w:rPr>
          </w:pPr>
          <w:hyperlink w:anchor="_Toc233032382" w:history="1">
            <w:r w:rsidRPr="004C7625">
              <w:rPr>
                <w:rStyle w:val="Hyperlink"/>
                <w:noProof/>
              </w:rPr>
              <w:t>4</w:t>
            </w:r>
            <w:r>
              <w:rPr>
                <w:rFonts w:cstheme="minorBidi"/>
                <w:noProof/>
                <w:kern w:val="2"/>
                <w:sz w:val="24"/>
                <w:szCs w:val="24"/>
                <w:lang w:val="sv-SE" w:eastAsia="sv-SE"/>
                <w14:ligatures w14:val="standardContextual"/>
              </w:rPr>
              <w:tab/>
            </w:r>
            <w:r w:rsidRPr="004C7625">
              <w:rPr>
                <w:rStyle w:val="Hyperlink"/>
                <w:noProof/>
              </w:rPr>
              <w:t>Model input</w:t>
            </w:r>
            <w:r>
              <w:rPr>
                <w:noProof/>
                <w:webHidden/>
              </w:rPr>
              <w:tab/>
            </w:r>
            <w:r>
              <w:rPr>
                <w:noProof/>
                <w:webHidden/>
              </w:rPr>
              <w:fldChar w:fldCharType="begin"/>
            </w:r>
            <w:r>
              <w:rPr>
                <w:noProof/>
                <w:webHidden/>
              </w:rPr>
              <w:instrText xml:space="preserve"> PAGEREF _Toc233032382 \h </w:instrText>
            </w:r>
            <w:r>
              <w:rPr>
                <w:noProof/>
                <w:webHidden/>
              </w:rPr>
            </w:r>
            <w:r>
              <w:rPr>
                <w:noProof/>
                <w:webHidden/>
              </w:rPr>
              <w:fldChar w:fldCharType="separate"/>
            </w:r>
            <w:r>
              <w:rPr>
                <w:noProof/>
                <w:webHidden/>
              </w:rPr>
              <w:t>8</w:t>
            </w:r>
            <w:r>
              <w:rPr>
                <w:noProof/>
                <w:webHidden/>
              </w:rPr>
              <w:fldChar w:fldCharType="end"/>
            </w:r>
          </w:hyperlink>
        </w:p>
        <w:p w14:paraId="31BEB961" w14:textId="068ED343"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3" w:history="1">
            <w:r w:rsidRPr="004C7625">
              <w:rPr>
                <w:rStyle w:val="Hyperlink"/>
                <w:noProof/>
              </w:rPr>
              <w:t>4.1</w:t>
            </w:r>
            <w:r>
              <w:rPr>
                <w:rFonts w:cstheme="minorBidi"/>
                <w:noProof/>
                <w:kern w:val="2"/>
                <w:sz w:val="24"/>
                <w:szCs w:val="24"/>
                <w:lang w:val="sv-SE" w:eastAsia="sv-SE"/>
                <w14:ligatures w14:val="standardContextual"/>
              </w:rPr>
              <w:tab/>
            </w:r>
            <w:r w:rsidRPr="004C7625">
              <w:rPr>
                <w:rStyle w:val="Hyperlink"/>
                <w:noProof/>
              </w:rPr>
              <w:t>Hypothetical scenarios input data</w:t>
            </w:r>
            <w:r>
              <w:rPr>
                <w:noProof/>
                <w:webHidden/>
              </w:rPr>
              <w:tab/>
            </w:r>
            <w:r>
              <w:rPr>
                <w:noProof/>
                <w:webHidden/>
              </w:rPr>
              <w:fldChar w:fldCharType="begin"/>
            </w:r>
            <w:r>
              <w:rPr>
                <w:noProof/>
                <w:webHidden/>
              </w:rPr>
              <w:instrText xml:space="preserve"> PAGEREF _Toc233032383 \h </w:instrText>
            </w:r>
            <w:r>
              <w:rPr>
                <w:noProof/>
                <w:webHidden/>
              </w:rPr>
            </w:r>
            <w:r>
              <w:rPr>
                <w:noProof/>
                <w:webHidden/>
              </w:rPr>
              <w:fldChar w:fldCharType="separate"/>
            </w:r>
            <w:r>
              <w:rPr>
                <w:noProof/>
                <w:webHidden/>
              </w:rPr>
              <w:t>8</w:t>
            </w:r>
            <w:r>
              <w:rPr>
                <w:noProof/>
                <w:webHidden/>
              </w:rPr>
              <w:fldChar w:fldCharType="end"/>
            </w:r>
          </w:hyperlink>
        </w:p>
        <w:p w14:paraId="7CDA7A67" w14:textId="556AAE7D"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4" w:history="1">
            <w:r w:rsidRPr="004C7625">
              <w:rPr>
                <w:rStyle w:val="Hyperlink"/>
                <w:rFonts w:cs="Calibri"/>
                <w:noProof/>
              </w:rPr>
              <w:t>4.2</w:t>
            </w:r>
            <w:r>
              <w:rPr>
                <w:rFonts w:cstheme="minorBidi"/>
                <w:noProof/>
                <w:kern w:val="2"/>
                <w:sz w:val="24"/>
                <w:szCs w:val="24"/>
                <w:lang w:val="sv-SE" w:eastAsia="sv-SE"/>
                <w14:ligatures w14:val="standardContextual"/>
              </w:rPr>
              <w:tab/>
            </w:r>
            <w:r w:rsidRPr="004C7625">
              <w:rPr>
                <w:rStyle w:val="Hyperlink"/>
                <w:rFonts w:cs="Calibri"/>
                <w:noProof/>
              </w:rPr>
              <w:t>Historical scenarios input data</w:t>
            </w:r>
            <w:r>
              <w:rPr>
                <w:noProof/>
                <w:webHidden/>
              </w:rPr>
              <w:tab/>
            </w:r>
            <w:r>
              <w:rPr>
                <w:noProof/>
                <w:webHidden/>
              </w:rPr>
              <w:fldChar w:fldCharType="begin"/>
            </w:r>
            <w:r>
              <w:rPr>
                <w:noProof/>
                <w:webHidden/>
              </w:rPr>
              <w:instrText xml:space="preserve"> PAGEREF _Toc233032384 \h </w:instrText>
            </w:r>
            <w:r>
              <w:rPr>
                <w:noProof/>
                <w:webHidden/>
              </w:rPr>
            </w:r>
            <w:r>
              <w:rPr>
                <w:noProof/>
                <w:webHidden/>
              </w:rPr>
              <w:fldChar w:fldCharType="separate"/>
            </w:r>
            <w:r>
              <w:rPr>
                <w:noProof/>
                <w:webHidden/>
              </w:rPr>
              <w:t>8</w:t>
            </w:r>
            <w:r>
              <w:rPr>
                <w:noProof/>
                <w:webHidden/>
              </w:rPr>
              <w:fldChar w:fldCharType="end"/>
            </w:r>
          </w:hyperlink>
        </w:p>
        <w:p w14:paraId="6496BC26" w14:textId="4AE907CB"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5" w:history="1">
            <w:r w:rsidRPr="004C7625">
              <w:rPr>
                <w:rStyle w:val="Hyperlink"/>
                <w:noProof/>
              </w:rPr>
              <w:t>4.3</w:t>
            </w:r>
            <w:r>
              <w:rPr>
                <w:rFonts w:cstheme="minorBidi"/>
                <w:noProof/>
                <w:kern w:val="2"/>
                <w:sz w:val="24"/>
                <w:szCs w:val="24"/>
                <w:lang w:val="sv-SE" w:eastAsia="sv-SE"/>
                <w14:ligatures w14:val="standardContextual"/>
              </w:rPr>
              <w:tab/>
            </w:r>
            <w:r w:rsidRPr="004C7625">
              <w:rPr>
                <w:rStyle w:val="Hyperlink"/>
                <w:noProof/>
              </w:rPr>
              <w:t>Narrative scenarios input data</w:t>
            </w:r>
            <w:r>
              <w:rPr>
                <w:noProof/>
                <w:webHidden/>
              </w:rPr>
              <w:tab/>
            </w:r>
            <w:r>
              <w:rPr>
                <w:noProof/>
                <w:webHidden/>
              </w:rPr>
              <w:fldChar w:fldCharType="begin"/>
            </w:r>
            <w:r>
              <w:rPr>
                <w:noProof/>
                <w:webHidden/>
              </w:rPr>
              <w:instrText xml:space="preserve"> PAGEREF _Toc233032385 \h </w:instrText>
            </w:r>
            <w:r>
              <w:rPr>
                <w:noProof/>
                <w:webHidden/>
              </w:rPr>
            </w:r>
            <w:r>
              <w:rPr>
                <w:noProof/>
                <w:webHidden/>
              </w:rPr>
              <w:fldChar w:fldCharType="separate"/>
            </w:r>
            <w:r>
              <w:rPr>
                <w:noProof/>
                <w:webHidden/>
              </w:rPr>
              <w:t>8</w:t>
            </w:r>
            <w:r>
              <w:rPr>
                <w:noProof/>
                <w:webHidden/>
              </w:rPr>
              <w:fldChar w:fldCharType="end"/>
            </w:r>
          </w:hyperlink>
        </w:p>
        <w:p w14:paraId="05BCEC07" w14:textId="798E63EC" w:rsidR="00677F11" w:rsidRDefault="00677F11">
          <w:pPr>
            <w:pStyle w:val="TOC1"/>
            <w:tabs>
              <w:tab w:val="left" w:pos="440"/>
              <w:tab w:val="right" w:leader="dot" w:pos="9016"/>
            </w:tabs>
            <w:rPr>
              <w:rFonts w:cstheme="minorBidi"/>
              <w:noProof/>
              <w:kern w:val="2"/>
              <w:sz w:val="24"/>
              <w:szCs w:val="24"/>
              <w:lang w:val="sv-SE" w:eastAsia="sv-SE"/>
              <w14:ligatures w14:val="standardContextual"/>
            </w:rPr>
          </w:pPr>
          <w:hyperlink w:anchor="_Toc233032386" w:history="1">
            <w:r w:rsidRPr="004C7625">
              <w:rPr>
                <w:rStyle w:val="Hyperlink"/>
                <w:noProof/>
              </w:rPr>
              <w:t>5</w:t>
            </w:r>
            <w:r>
              <w:rPr>
                <w:rFonts w:cstheme="minorBidi"/>
                <w:noProof/>
                <w:kern w:val="2"/>
                <w:sz w:val="24"/>
                <w:szCs w:val="24"/>
                <w:lang w:val="sv-SE" w:eastAsia="sv-SE"/>
                <w14:ligatures w14:val="standardContextual"/>
              </w:rPr>
              <w:tab/>
            </w:r>
            <w:r w:rsidRPr="004C7625">
              <w:rPr>
                <w:rStyle w:val="Hyperlink"/>
                <w:noProof/>
              </w:rPr>
              <w:t>Model methodology</w:t>
            </w:r>
            <w:r>
              <w:rPr>
                <w:noProof/>
                <w:webHidden/>
              </w:rPr>
              <w:tab/>
            </w:r>
            <w:r>
              <w:rPr>
                <w:noProof/>
                <w:webHidden/>
              </w:rPr>
              <w:fldChar w:fldCharType="begin"/>
            </w:r>
            <w:r>
              <w:rPr>
                <w:noProof/>
                <w:webHidden/>
              </w:rPr>
              <w:instrText xml:space="preserve"> PAGEREF _Toc233032386 \h </w:instrText>
            </w:r>
            <w:r>
              <w:rPr>
                <w:noProof/>
                <w:webHidden/>
              </w:rPr>
            </w:r>
            <w:r>
              <w:rPr>
                <w:noProof/>
                <w:webHidden/>
              </w:rPr>
              <w:fldChar w:fldCharType="separate"/>
            </w:r>
            <w:r>
              <w:rPr>
                <w:noProof/>
                <w:webHidden/>
              </w:rPr>
              <w:t>9</w:t>
            </w:r>
            <w:r>
              <w:rPr>
                <w:noProof/>
                <w:webHidden/>
              </w:rPr>
              <w:fldChar w:fldCharType="end"/>
            </w:r>
          </w:hyperlink>
        </w:p>
        <w:p w14:paraId="3BB78370" w14:textId="1331B271"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7" w:history="1">
            <w:r w:rsidRPr="004C7625">
              <w:rPr>
                <w:rStyle w:val="Hyperlink"/>
                <w:noProof/>
              </w:rPr>
              <w:t>5.1</w:t>
            </w:r>
            <w:r>
              <w:rPr>
                <w:rFonts w:cstheme="minorBidi"/>
                <w:noProof/>
                <w:kern w:val="2"/>
                <w:sz w:val="24"/>
                <w:szCs w:val="24"/>
                <w:lang w:val="sv-SE" w:eastAsia="sv-SE"/>
                <w14:ligatures w14:val="standardContextual"/>
              </w:rPr>
              <w:tab/>
            </w:r>
            <w:r w:rsidRPr="004C7625">
              <w:rPr>
                <w:rStyle w:val="Hyperlink"/>
                <w:noProof/>
              </w:rPr>
              <w:t>Overview of model methodology and logic</w:t>
            </w:r>
            <w:r>
              <w:rPr>
                <w:noProof/>
                <w:webHidden/>
              </w:rPr>
              <w:tab/>
            </w:r>
            <w:r>
              <w:rPr>
                <w:noProof/>
                <w:webHidden/>
              </w:rPr>
              <w:fldChar w:fldCharType="begin"/>
            </w:r>
            <w:r>
              <w:rPr>
                <w:noProof/>
                <w:webHidden/>
              </w:rPr>
              <w:instrText xml:space="preserve"> PAGEREF _Toc233032387 \h </w:instrText>
            </w:r>
            <w:r>
              <w:rPr>
                <w:noProof/>
                <w:webHidden/>
              </w:rPr>
            </w:r>
            <w:r>
              <w:rPr>
                <w:noProof/>
                <w:webHidden/>
              </w:rPr>
              <w:fldChar w:fldCharType="separate"/>
            </w:r>
            <w:r>
              <w:rPr>
                <w:noProof/>
                <w:webHidden/>
              </w:rPr>
              <w:t>9</w:t>
            </w:r>
            <w:r>
              <w:rPr>
                <w:noProof/>
                <w:webHidden/>
              </w:rPr>
              <w:fldChar w:fldCharType="end"/>
            </w:r>
          </w:hyperlink>
        </w:p>
        <w:p w14:paraId="0A3A30B0" w14:textId="6D39F360"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8" w:history="1">
            <w:r w:rsidRPr="004C7625">
              <w:rPr>
                <w:rStyle w:val="Hyperlink"/>
                <w:noProof/>
              </w:rPr>
              <w:t>5.2</w:t>
            </w:r>
            <w:r>
              <w:rPr>
                <w:rFonts w:cstheme="minorBidi"/>
                <w:noProof/>
                <w:kern w:val="2"/>
                <w:sz w:val="24"/>
                <w:szCs w:val="24"/>
                <w:lang w:val="sv-SE" w:eastAsia="sv-SE"/>
                <w14:ligatures w14:val="standardContextual"/>
              </w:rPr>
              <w:tab/>
            </w:r>
            <w:r w:rsidRPr="004C7625">
              <w:rPr>
                <w:rStyle w:val="Hyperlink"/>
                <w:noProof/>
              </w:rPr>
              <w:t>Single risk factor stress estimation</w:t>
            </w:r>
            <w:r>
              <w:rPr>
                <w:noProof/>
                <w:webHidden/>
              </w:rPr>
              <w:tab/>
            </w:r>
            <w:r>
              <w:rPr>
                <w:noProof/>
                <w:webHidden/>
              </w:rPr>
              <w:fldChar w:fldCharType="begin"/>
            </w:r>
            <w:r>
              <w:rPr>
                <w:noProof/>
                <w:webHidden/>
              </w:rPr>
              <w:instrText xml:space="preserve"> PAGEREF _Toc233032388 \h </w:instrText>
            </w:r>
            <w:r>
              <w:rPr>
                <w:noProof/>
                <w:webHidden/>
              </w:rPr>
            </w:r>
            <w:r>
              <w:rPr>
                <w:noProof/>
                <w:webHidden/>
              </w:rPr>
              <w:fldChar w:fldCharType="separate"/>
            </w:r>
            <w:r>
              <w:rPr>
                <w:noProof/>
                <w:webHidden/>
              </w:rPr>
              <w:t>10</w:t>
            </w:r>
            <w:r>
              <w:rPr>
                <w:noProof/>
                <w:webHidden/>
              </w:rPr>
              <w:fldChar w:fldCharType="end"/>
            </w:r>
          </w:hyperlink>
        </w:p>
        <w:p w14:paraId="756A90F9" w14:textId="5862C3A3"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89" w:history="1">
            <w:r w:rsidRPr="004C7625">
              <w:rPr>
                <w:rStyle w:val="Hyperlink"/>
                <w:noProof/>
              </w:rPr>
              <w:t>5.3</w:t>
            </w:r>
            <w:r>
              <w:rPr>
                <w:rFonts w:cstheme="minorBidi"/>
                <w:noProof/>
                <w:kern w:val="2"/>
                <w:sz w:val="24"/>
                <w:szCs w:val="24"/>
                <w:lang w:val="sv-SE" w:eastAsia="sv-SE"/>
                <w14:ligatures w14:val="standardContextual"/>
              </w:rPr>
              <w:tab/>
            </w:r>
            <w:r w:rsidRPr="004C7625">
              <w:rPr>
                <w:rStyle w:val="Hyperlink"/>
                <w:noProof/>
              </w:rPr>
              <w:t>Portfolio risk calculation</w:t>
            </w:r>
            <w:r>
              <w:rPr>
                <w:noProof/>
                <w:webHidden/>
              </w:rPr>
              <w:tab/>
            </w:r>
            <w:r>
              <w:rPr>
                <w:noProof/>
                <w:webHidden/>
              </w:rPr>
              <w:fldChar w:fldCharType="begin"/>
            </w:r>
            <w:r>
              <w:rPr>
                <w:noProof/>
                <w:webHidden/>
              </w:rPr>
              <w:instrText xml:space="preserve"> PAGEREF _Toc233032389 \h </w:instrText>
            </w:r>
            <w:r>
              <w:rPr>
                <w:noProof/>
                <w:webHidden/>
              </w:rPr>
            </w:r>
            <w:r>
              <w:rPr>
                <w:noProof/>
                <w:webHidden/>
              </w:rPr>
              <w:fldChar w:fldCharType="separate"/>
            </w:r>
            <w:r>
              <w:rPr>
                <w:noProof/>
                <w:webHidden/>
              </w:rPr>
              <w:t>13</w:t>
            </w:r>
            <w:r>
              <w:rPr>
                <w:noProof/>
                <w:webHidden/>
              </w:rPr>
              <w:fldChar w:fldCharType="end"/>
            </w:r>
          </w:hyperlink>
        </w:p>
        <w:p w14:paraId="144893C6" w14:textId="4FDECBA4"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90" w:history="1">
            <w:r w:rsidRPr="004C7625">
              <w:rPr>
                <w:rStyle w:val="Hyperlink"/>
                <w:noProof/>
              </w:rPr>
              <w:t>5.4</w:t>
            </w:r>
            <w:r>
              <w:rPr>
                <w:rFonts w:cstheme="minorBidi"/>
                <w:noProof/>
                <w:kern w:val="2"/>
                <w:sz w:val="24"/>
                <w:szCs w:val="24"/>
                <w:lang w:val="sv-SE" w:eastAsia="sv-SE"/>
                <w14:ligatures w14:val="standardContextual"/>
              </w:rPr>
              <w:tab/>
            </w:r>
            <w:r w:rsidRPr="004C7625">
              <w:rPr>
                <w:rStyle w:val="Hyperlink"/>
                <w:noProof/>
              </w:rPr>
              <w:t>Stress loss calculation and aggregation</w:t>
            </w:r>
            <w:r>
              <w:rPr>
                <w:noProof/>
                <w:webHidden/>
              </w:rPr>
              <w:tab/>
            </w:r>
            <w:r>
              <w:rPr>
                <w:noProof/>
                <w:webHidden/>
              </w:rPr>
              <w:fldChar w:fldCharType="begin"/>
            </w:r>
            <w:r>
              <w:rPr>
                <w:noProof/>
                <w:webHidden/>
              </w:rPr>
              <w:instrText xml:space="preserve"> PAGEREF _Toc233032390 \h </w:instrText>
            </w:r>
            <w:r>
              <w:rPr>
                <w:noProof/>
                <w:webHidden/>
              </w:rPr>
            </w:r>
            <w:r>
              <w:rPr>
                <w:noProof/>
                <w:webHidden/>
              </w:rPr>
              <w:fldChar w:fldCharType="separate"/>
            </w:r>
            <w:r>
              <w:rPr>
                <w:noProof/>
                <w:webHidden/>
              </w:rPr>
              <w:t>16</w:t>
            </w:r>
            <w:r>
              <w:rPr>
                <w:noProof/>
                <w:webHidden/>
              </w:rPr>
              <w:fldChar w:fldCharType="end"/>
            </w:r>
          </w:hyperlink>
        </w:p>
        <w:p w14:paraId="3F59DB63" w14:textId="2D98AC12" w:rsidR="00677F11" w:rsidRDefault="00677F11">
          <w:pPr>
            <w:pStyle w:val="TOC1"/>
            <w:tabs>
              <w:tab w:val="left" w:pos="440"/>
              <w:tab w:val="right" w:leader="dot" w:pos="9016"/>
            </w:tabs>
            <w:rPr>
              <w:rFonts w:cstheme="minorBidi"/>
              <w:noProof/>
              <w:kern w:val="2"/>
              <w:sz w:val="24"/>
              <w:szCs w:val="24"/>
              <w:lang w:val="sv-SE" w:eastAsia="sv-SE"/>
              <w14:ligatures w14:val="standardContextual"/>
            </w:rPr>
          </w:pPr>
          <w:hyperlink w:anchor="_Toc233032391" w:history="1">
            <w:r w:rsidRPr="004C7625">
              <w:rPr>
                <w:rStyle w:val="Hyperlink"/>
                <w:noProof/>
              </w:rPr>
              <w:t>6</w:t>
            </w:r>
            <w:r>
              <w:rPr>
                <w:rFonts w:cstheme="minorBidi"/>
                <w:noProof/>
                <w:kern w:val="2"/>
                <w:sz w:val="24"/>
                <w:szCs w:val="24"/>
                <w:lang w:val="sv-SE" w:eastAsia="sv-SE"/>
                <w14:ligatures w14:val="standardContextual"/>
              </w:rPr>
              <w:tab/>
            </w:r>
            <w:r w:rsidRPr="004C7625">
              <w:rPr>
                <w:rStyle w:val="Hyperlink"/>
                <w:noProof/>
              </w:rPr>
              <w:t>Model use</w:t>
            </w:r>
            <w:r>
              <w:rPr>
                <w:noProof/>
                <w:webHidden/>
              </w:rPr>
              <w:tab/>
            </w:r>
            <w:r>
              <w:rPr>
                <w:noProof/>
                <w:webHidden/>
              </w:rPr>
              <w:fldChar w:fldCharType="begin"/>
            </w:r>
            <w:r>
              <w:rPr>
                <w:noProof/>
                <w:webHidden/>
              </w:rPr>
              <w:instrText xml:space="preserve"> PAGEREF _Toc233032391 \h </w:instrText>
            </w:r>
            <w:r>
              <w:rPr>
                <w:noProof/>
                <w:webHidden/>
              </w:rPr>
            </w:r>
            <w:r>
              <w:rPr>
                <w:noProof/>
                <w:webHidden/>
              </w:rPr>
              <w:fldChar w:fldCharType="separate"/>
            </w:r>
            <w:r>
              <w:rPr>
                <w:noProof/>
                <w:webHidden/>
              </w:rPr>
              <w:t>19</w:t>
            </w:r>
            <w:r>
              <w:rPr>
                <w:noProof/>
                <w:webHidden/>
              </w:rPr>
              <w:fldChar w:fldCharType="end"/>
            </w:r>
          </w:hyperlink>
        </w:p>
        <w:p w14:paraId="7542313D" w14:textId="124B121E"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92" w:history="1">
            <w:r w:rsidRPr="004C7625">
              <w:rPr>
                <w:rStyle w:val="Hyperlink"/>
                <w:noProof/>
              </w:rPr>
              <w:t>6.1</w:t>
            </w:r>
            <w:r>
              <w:rPr>
                <w:rFonts w:cstheme="minorBidi"/>
                <w:noProof/>
                <w:kern w:val="2"/>
                <w:sz w:val="24"/>
                <w:szCs w:val="24"/>
                <w:lang w:val="sv-SE" w:eastAsia="sv-SE"/>
                <w14:ligatures w14:val="standardContextual"/>
              </w:rPr>
              <w:tab/>
            </w:r>
            <w:r w:rsidRPr="004C7625">
              <w:rPr>
                <w:rStyle w:val="Hyperlink"/>
                <w:noProof/>
              </w:rPr>
              <w:t>Intended model use</w:t>
            </w:r>
            <w:r>
              <w:rPr>
                <w:noProof/>
                <w:webHidden/>
              </w:rPr>
              <w:tab/>
            </w:r>
            <w:r>
              <w:rPr>
                <w:noProof/>
                <w:webHidden/>
              </w:rPr>
              <w:fldChar w:fldCharType="begin"/>
            </w:r>
            <w:r>
              <w:rPr>
                <w:noProof/>
                <w:webHidden/>
              </w:rPr>
              <w:instrText xml:space="preserve"> PAGEREF _Toc233032392 \h </w:instrText>
            </w:r>
            <w:r>
              <w:rPr>
                <w:noProof/>
                <w:webHidden/>
              </w:rPr>
            </w:r>
            <w:r>
              <w:rPr>
                <w:noProof/>
                <w:webHidden/>
              </w:rPr>
              <w:fldChar w:fldCharType="separate"/>
            </w:r>
            <w:r>
              <w:rPr>
                <w:noProof/>
                <w:webHidden/>
              </w:rPr>
              <w:t>19</w:t>
            </w:r>
            <w:r>
              <w:rPr>
                <w:noProof/>
                <w:webHidden/>
              </w:rPr>
              <w:fldChar w:fldCharType="end"/>
            </w:r>
          </w:hyperlink>
        </w:p>
        <w:p w14:paraId="0767EDEB" w14:textId="3623D37C"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93" w:history="1">
            <w:r w:rsidRPr="004C7625">
              <w:rPr>
                <w:rStyle w:val="Hyperlink"/>
                <w:noProof/>
              </w:rPr>
              <w:t>6.2</w:t>
            </w:r>
            <w:r>
              <w:rPr>
                <w:rFonts w:cstheme="minorBidi"/>
                <w:noProof/>
                <w:kern w:val="2"/>
                <w:sz w:val="24"/>
                <w:szCs w:val="24"/>
                <w:lang w:val="sv-SE" w:eastAsia="sv-SE"/>
                <w14:ligatures w14:val="standardContextual"/>
              </w:rPr>
              <w:tab/>
            </w:r>
            <w:r w:rsidRPr="004C7625">
              <w:rPr>
                <w:rStyle w:val="Hyperlink"/>
                <w:noProof/>
              </w:rPr>
              <w:t>Model output and reports</w:t>
            </w:r>
            <w:r>
              <w:rPr>
                <w:noProof/>
                <w:webHidden/>
              </w:rPr>
              <w:tab/>
            </w:r>
            <w:r>
              <w:rPr>
                <w:noProof/>
                <w:webHidden/>
              </w:rPr>
              <w:fldChar w:fldCharType="begin"/>
            </w:r>
            <w:r>
              <w:rPr>
                <w:noProof/>
                <w:webHidden/>
              </w:rPr>
              <w:instrText xml:space="preserve"> PAGEREF _Toc233032393 \h </w:instrText>
            </w:r>
            <w:r>
              <w:rPr>
                <w:noProof/>
                <w:webHidden/>
              </w:rPr>
            </w:r>
            <w:r>
              <w:rPr>
                <w:noProof/>
                <w:webHidden/>
              </w:rPr>
              <w:fldChar w:fldCharType="separate"/>
            </w:r>
            <w:r>
              <w:rPr>
                <w:noProof/>
                <w:webHidden/>
              </w:rPr>
              <w:t>19</w:t>
            </w:r>
            <w:r>
              <w:rPr>
                <w:noProof/>
                <w:webHidden/>
              </w:rPr>
              <w:fldChar w:fldCharType="end"/>
            </w:r>
          </w:hyperlink>
        </w:p>
        <w:p w14:paraId="391F147B" w14:textId="02A18DF5" w:rsidR="00677F11" w:rsidRDefault="00677F11">
          <w:pPr>
            <w:pStyle w:val="TOC2"/>
            <w:tabs>
              <w:tab w:val="left" w:pos="960"/>
              <w:tab w:val="right" w:leader="dot" w:pos="9016"/>
            </w:tabs>
            <w:rPr>
              <w:rFonts w:cstheme="minorBidi"/>
              <w:noProof/>
              <w:kern w:val="2"/>
              <w:sz w:val="24"/>
              <w:szCs w:val="24"/>
              <w:lang w:val="sv-SE" w:eastAsia="sv-SE"/>
              <w14:ligatures w14:val="standardContextual"/>
            </w:rPr>
          </w:pPr>
          <w:hyperlink w:anchor="_Toc233032394" w:history="1">
            <w:r w:rsidRPr="004C7625">
              <w:rPr>
                <w:rStyle w:val="Hyperlink"/>
                <w:noProof/>
              </w:rPr>
              <w:t>6.3</w:t>
            </w:r>
            <w:r>
              <w:rPr>
                <w:rFonts w:cstheme="minorBidi"/>
                <w:noProof/>
                <w:kern w:val="2"/>
                <w:sz w:val="24"/>
                <w:szCs w:val="24"/>
                <w:lang w:val="sv-SE" w:eastAsia="sv-SE"/>
                <w14:ligatures w14:val="standardContextual"/>
              </w:rPr>
              <w:tab/>
            </w:r>
            <w:r w:rsidRPr="004C7625">
              <w:rPr>
                <w:rStyle w:val="Hyperlink"/>
                <w:noProof/>
              </w:rPr>
              <w:t>Re-calibration</w:t>
            </w:r>
            <w:r>
              <w:rPr>
                <w:noProof/>
                <w:webHidden/>
              </w:rPr>
              <w:tab/>
            </w:r>
            <w:r>
              <w:rPr>
                <w:noProof/>
                <w:webHidden/>
              </w:rPr>
              <w:fldChar w:fldCharType="begin"/>
            </w:r>
            <w:r>
              <w:rPr>
                <w:noProof/>
                <w:webHidden/>
              </w:rPr>
              <w:instrText xml:space="preserve"> PAGEREF _Toc233032394 \h </w:instrText>
            </w:r>
            <w:r>
              <w:rPr>
                <w:noProof/>
                <w:webHidden/>
              </w:rPr>
            </w:r>
            <w:r>
              <w:rPr>
                <w:noProof/>
                <w:webHidden/>
              </w:rPr>
              <w:fldChar w:fldCharType="separate"/>
            </w:r>
            <w:r>
              <w:rPr>
                <w:noProof/>
                <w:webHidden/>
              </w:rPr>
              <w:t>19</w:t>
            </w:r>
            <w:r>
              <w:rPr>
                <w:noProof/>
                <w:webHidden/>
              </w:rPr>
              <w:fldChar w:fldCharType="end"/>
            </w:r>
          </w:hyperlink>
        </w:p>
        <w:p w14:paraId="513DB8D3" w14:textId="786190CA" w:rsidR="00FF2862" w:rsidRPr="00210160" w:rsidRDefault="00FF2862">
          <w:r w:rsidRPr="00210160">
            <w:rPr>
              <w:rFonts w:asciiTheme="minorHAnsi" w:eastAsiaTheme="minorEastAsia" w:hAnsiTheme="minorHAnsi"/>
              <w:szCs w:val="22"/>
            </w:rPr>
            <w:fldChar w:fldCharType="end"/>
          </w:r>
        </w:p>
      </w:sdtContent>
    </w:sdt>
    <w:p w14:paraId="47E8543D" w14:textId="55D98E99" w:rsidR="00F0435F" w:rsidRPr="00210160" w:rsidRDefault="00DD26AD" w:rsidP="002A3967">
      <w:pPr>
        <w:pStyle w:val="Heading1"/>
        <w:rPr>
          <w:rFonts w:cs="Calibri"/>
        </w:rPr>
      </w:pPr>
      <w:bookmarkStart w:id="3" w:name="_Toc233032371"/>
      <w:r w:rsidRPr="00210160">
        <w:rPr>
          <w:rFonts w:cs="Calibri"/>
        </w:rPr>
        <w:lastRenderedPageBreak/>
        <w:t>Model</w:t>
      </w:r>
      <w:r w:rsidR="00F054B7" w:rsidRPr="00210160">
        <w:rPr>
          <w:rFonts w:cs="Calibri"/>
        </w:rPr>
        <w:t xml:space="preserve"> purpose and scope</w:t>
      </w:r>
      <w:bookmarkEnd w:id="3"/>
    </w:p>
    <w:p w14:paraId="43B4B52E" w14:textId="2E6191EC" w:rsidR="00DD26AD" w:rsidRPr="00210160" w:rsidRDefault="00DD26AD" w:rsidP="00395CD7">
      <w:pPr>
        <w:pStyle w:val="BodyText"/>
        <w:rPr>
          <w:noProof w:val="0"/>
        </w:rPr>
      </w:pPr>
      <w:bookmarkStart w:id="4" w:name="_Hlk2803632"/>
      <w:r w:rsidRPr="00210160">
        <w:rPr>
          <w:noProof w:val="0"/>
        </w:rPr>
        <w:t>This document is the model documentation for Nasdaq Clearing’s stress testing model (also referred to as the “Clearing Capital at Risk” or “</w:t>
      </w:r>
      <w:proofErr w:type="spellStart"/>
      <w:r w:rsidRPr="00210160">
        <w:rPr>
          <w:noProof w:val="0"/>
        </w:rPr>
        <w:t>CCaR</w:t>
      </w:r>
      <w:proofErr w:type="spellEnd"/>
      <w:r w:rsidRPr="00210160">
        <w:rPr>
          <w:noProof w:val="0"/>
        </w:rPr>
        <w:t xml:space="preserve">” model). This document also covers the methodology to calibrate </w:t>
      </w:r>
      <w:proofErr w:type="spellStart"/>
      <w:r w:rsidRPr="00210160">
        <w:rPr>
          <w:noProof w:val="0"/>
        </w:rPr>
        <w:t>CCaR</w:t>
      </w:r>
      <w:proofErr w:type="spellEnd"/>
      <w:r w:rsidRPr="00210160">
        <w:rPr>
          <w:noProof w:val="0"/>
        </w:rPr>
        <w:t xml:space="preserve"> model parameters and how Nasdaq Clearing determines extreme but plausible historical and hypothetical stress scenarios. </w:t>
      </w:r>
    </w:p>
    <w:p w14:paraId="06978F83" w14:textId="77777777" w:rsidR="00DD26AD" w:rsidRPr="00210160" w:rsidRDefault="00DD26AD" w:rsidP="00395CD7">
      <w:pPr>
        <w:pStyle w:val="Heading2"/>
      </w:pPr>
      <w:bookmarkStart w:id="5" w:name="_Toc37787033"/>
      <w:bookmarkStart w:id="6" w:name="_Toc233032372"/>
      <w:bookmarkEnd w:id="4"/>
      <w:r w:rsidRPr="00210160">
        <w:t xml:space="preserve">Purpose of the </w:t>
      </w:r>
      <w:proofErr w:type="spellStart"/>
      <w:r w:rsidRPr="00210160">
        <w:t>CCaR</w:t>
      </w:r>
      <w:proofErr w:type="spellEnd"/>
      <w:r w:rsidRPr="00210160">
        <w:t xml:space="preserve"> model</w:t>
      </w:r>
      <w:bookmarkEnd w:id="5"/>
      <w:bookmarkEnd w:id="6"/>
    </w:p>
    <w:p w14:paraId="7F695A58" w14:textId="77777777" w:rsidR="00DD26AD" w:rsidRPr="00210160" w:rsidRDefault="00DD26AD" w:rsidP="00395CD7">
      <w:pPr>
        <w:pStyle w:val="BodyText"/>
        <w:rPr>
          <w:noProof w:val="0"/>
        </w:rPr>
      </w:pPr>
      <w:bookmarkStart w:id="7" w:name="_Ref21463223"/>
      <w:r w:rsidRPr="00210160">
        <w:rPr>
          <w:noProof w:val="0"/>
        </w:rPr>
        <w:t xml:space="preserve">The purpose of the </w:t>
      </w:r>
      <w:proofErr w:type="spellStart"/>
      <w:r w:rsidRPr="00210160">
        <w:rPr>
          <w:noProof w:val="0"/>
        </w:rPr>
        <w:t>CCaR</w:t>
      </w:r>
      <w:proofErr w:type="spellEnd"/>
      <w:r w:rsidRPr="00210160">
        <w:rPr>
          <w:noProof w:val="0"/>
        </w:rPr>
        <w:t xml:space="preserve"> model is to calculate clearing participants’ stress losses beyond margin under extreme but plausible circumstances. This is required for the CCP </w:t>
      </w:r>
      <w:proofErr w:type="gramStart"/>
      <w:r w:rsidRPr="00210160">
        <w:rPr>
          <w:noProof w:val="0"/>
        </w:rPr>
        <w:t>in order to</w:t>
      </w:r>
      <w:proofErr w:type="gramEnd"/>
      <w:r w:rsidRPr="00210160">
        <w:rPr>
          <w:noProof w:val="0"/>
        </w:rPr>
        <w:t>:</w:t>
      </w:r>
    </w:p>
    <w:p w14:paraId="07BBE64C" w14:textId="27AB010F" w:rsidR="00DD26AD" w:rsidRPr="00210160" w:rsidRDefault="00DD26AD" w:rsidP="00C34C06">
      <w:pPr>
        <w:pStyle w:val="Bullets"/>
        <w:rPr>
          <w:noProof w:val="0"/>
          <w:lang w:val="en-US"/>
        </w:rPr>
      </w:pPr>
      <w:r w:rsidRPr="00210160">
        <w:rPr>
          <w:noProof w:val="0"/>
          <w:lang w:val="en-US"/>
        </w:rPr>
        <w:t xml:space="preserve">Determine and monitor the appropriateness of the default fund and clearing capital for each clearing service which </w:t>
      </w:r>
      <w:r w:rsidR="00FB0057" w:rsidRPr="00210160">
        <w:rPr>
          <w:noProof w:val="0"/>
          <w:lang w:val="en-US"/>
        </w:rPr>
        <w:t>protects</w:t>
      </w:r>
      <w:r w:rsidRPr="00210160">
        <w:rPr>
          <w:noProof w:val="0"/>
          <w:lang w:val="en-US"/>
        </w:rPr>
        <w:t xml:space="preserve"> the CCP and its members in the event of one or multiple </w:t>
      </w:r>
      <w:r w:rsidR="00FB0057" w:rsidRPr="00210160">
        <w:rPr>
          <w:noProof w:val="0"/>
          <w:lang w:val="en-US"/>
        </w:rPr>
        <w:t>defaults.</w:t>
      </w:r>
    </w:p>
    <w:p w14:paraId="4E7E9CB1" w14:textId="35147EB9" w:rsidR="00DD26AD" w:rsidRPr="00210160" w:rsidRDefault="00C91B96" w:rsidP="00C34C06">
      <w:pPr>
        <w:pStyle w:val="Bullets"/>
        <w:rPr>
          <w:noProof w:val="0"/>
          <w:lang w:val="en-US"/>
        </w:rPr>
      </w:pPr>
      <w:r w:rsidRPr="00210160">
        <w:rPr>
          <w:noProof w:val="0"/>
          <w:lang w:val="en-US"/>
        </w:rPr>
        <w:t>Evaluate and m</w:t>
      </w:r>
      <w:r w:rsidR="00DD26AD" w:rsidRPr="00210160">
        <w:rPr>
          <w:noProof w:val="0"/>
          <w:lang w:val="en-US"/>
        </w:rPr>
        <w:t xml:space="preserve">onitor the tail risk exposure of clearing </w:t>
      </w:r>
      <w:r w:rsidR="00FB0057" w:rsidRPr="00210160">
        <w:rPr>
          <w:noProof w:val="0"/>
          <w:lang w:val="en-US"/>
        </w:rPr>
        <w:t>members.</w:t>
      </w:r>
    </w:p>
    <w:p w14:paraId="6A4E1D25" w14:textId="4011EA75" w:rsidR="00DD26AD" w:rsidRPr="00210160" w:rsidRDefault="00C91B96" w:rsidP="00C34C06">
      <w:pPr>
        <w:pStyle w:val="Bullets"/>
        <w:rPr>
          <w:noProof w:val="0"/>
          <w:lang w:val="en-US"/>
        </w:rPr>
      </w:pPr>
      <w:r w:rsidRPr="00210160">
        <w:rPr>
          <w:noProof w:val="0"/>
          <w:lang w:val="en-US"/>
        </w:rPr>
        <w:t xml:space="preserve">Serve as </w:t>
      </w:r>
      <w:r w:rsidR="00DD26AD" w:rsidRPr="00210160">
        <w:rPr>
          <w:noProof w:val="0"/>
          <w:lang w:val="en-US"/>
        </w:rPr>
        <w:t>input to the</w:t>
      </w:r>
      <w:r w:rsidR="006C3DA7">
        <w:rPr>
          <w:noProof w:val="0"/>
          <w:lang w:val="en-US"/>
        </w:rPr>
        <w:t xml:space="preserve"> </w:t>
      </w:r>
      <w:r w:rsidR="00DD26AD" w:rsidRPr="00210160">
        <w:rPr>
          <w:noProof w:val="0"/>
          <w:lang w:val="en-US"/>
        </w:rPr>
        <w:t>stress</w:t>
      </w:r>
      <w:r w:rsidR="006C3DA7">
        <w:rPr>
          <w:noProof w:val="0"/>
          <w:lang w:val="en-US"/>
        </w:rPr>
        <w:t>ed margin</w:t>
      </w:r>
      <w:r w:rsidR="00DD26AD" w:rsidRPr="00210160">
        <w:rPr>
          <w:noProof w:val="0"/>
          <w:lang w:val="en-US"/>
        </w:rPr>
        <w:t xml:space="preserve"> add-on calculation</w:t>
      </w:r>
      <w:r w:rsidRPr="00210160">
        <w:rPr>
          <w:noProof w:val="0"/>
          <w:lang w:val="en-US"/>
        </w:rPr>
        <w:t>.</w:t>
      </w:r>
    </w:p>
    <w:p w14:paraId="51C11564" w14:textId="77777777" w:rsidR="00DD26AD" w:rsidRPr="00210160" w:rsidRDefault="00DD26AD" w:rsidP="00DD26AD">
      <w:pPr>
        <w:pStyle w:val="Heading2"/>
        <w:rPr>
          <w:rFonts w:cs="Calibri"/>
        </w:rPr>
      </w:pPr>
      <w:bookmarkStart w:id="8" w:name="_Toc37787034"/>
      <w:bookmarkStart w:id="9" w:name="_Toc233032373"/>
      <w:r w:rsidRPr="00210160">
        <w:rPr>
          <w:rFonts w:cs="Calibri"/>
        </w:rPr>
        <w:t>Scope</w:t>
      </w:r>
      <w:bookmarkEnd w:id="7"/>
      <w:r w:rsidRPr="00210160">
        <w:rPr>
          <w:rFonts w:cs="Calibri"/>
        </w:rPr>
        <w:t xml:space="preserve"> and model application</w:t>
      </w:r>
      <w:bookmarkEnd w:id="8"/>
      <w:bookmarkEnd w:id="9"/>
    </w:p>
    <w:p w14:paraId="775E8E51" w14:textId="1A5AEB84" w:rsidR="00DD26AD" w:rsidRPr="00210160" w:rsidRDefault="00DD26AD" w:rsidP="00713ED8">
      <w:pPr>
        <w:pStyle w:val="BodyText"/>
        <w:rPr>
          <w:noProof w:val="0"/>
        </w:rPr>
      </w:pPr>
      <w:r w:rsidRPr="00210160">
        <w:rPr>
          <w:noProof w:val="0"/>
        </w:rPr>
        <w:t xml:space="preserve">The </w:t>
      </w:r>
      <w:proofErr w:type="spellStart"/>
      <w:r w:rsidRPr="00210160">
        <w:rPr>
          <w:noProof w:val="0"/>
        </w:rPr>
        <w:t>CCaR</w:t>
      </w:r>
      <w:proofErr w:type="spellEnd"/>
      <w:r w:rsidRPr="00210160">
        <w:rPr>
          <w:noProof w:val="0"/>
        </w:rPr>
        <w:t xml:space="preserve"> model applies to all clearing participants’ portfolios which are active at Nasdaq Clearing</w:t>
      </w:r>
      <w:r w:rsidR="00C91B96" w:rsidRPr="00210160">
        <w:rPr>
          <w:noProof w:val="0"/>
        </w:rPr>
        <w:t xml:space="preserve">. </w:t>
      </w:r>
    </w:p>
    <w:p w14:paraId="1D3061F9" w14:textId="77777777" w:rsidR="00AD5A77" w:rsidRPr="00210160" w:rsidRDefault="00AF63DC" w:rsidP="00713ED8">
      <w:pPr>
        <w:pStyle w:val="Heading1"/>
      </w:pPr>
      <w:bookmarkStart w:id="10" w:name="_Toc233032374"/>
      <w:r w:rsidRPr="00210160">
        <w:lastRenderedPageBreak/>
        <w:t>Model overview</w:t>
      </w:r>
      <w:bookmarkEnd w:id="10"/>
    </w:p>
    <w:p w14:paraId="642B4AD2" w14:textId="203F44D6" w:rsidR="00F064D1" w:rsidRPr="00210160" w:rsidRDefault="00F064D1" w:rsidP="00713ED8">
      <w:pPr>
        <w:pStyle w:val="BodyText"/>
        <w:rPr>
          <w:noProof w:val="0"/>
        </w:rPr>
      </w:pPr>
      <w:r w:rsidRPr="00210160">
        <w:rPr>
          <w:noProof w:val="0"/>
        </w:rPr>
        <w:t>This section aims to provide a</w:t>
      </w:r>
      <w:r w:rsidR="00777669" w:rsidRPr="00210160">
        <w:rPr>
          <w:noProof w:val="0"/>
        </w:rPr>
        <w:t xml:space="preserve"> brief and</w:t>
      </w:r>
      <w:r w:rsidRPr="00210160">
        <w:rPr>
          <w:noProof w:val="0"/>
        </w:rPr>
        <w:t xml:space="preserve"> </w:t>
      </w:r>
      <w:r w:rsidR="00BE3121" w:rsidRPr="00210160">
        <w:rPr>
          <w:noProof w:val="0"/>
        </w:rPr>
        <w:t xml:space="preserve">high-level </w:t>
      </w:r>
      <w:r w:rsidRPr="00210160">
        <w:rPr>
          <w:noProof w:val="0"/>
        </w:rPr>
        <w:t>overview of the</w:t>
      </w:r>
      <w:r w:rsidR="00AA5C4F" w:rsidRPr="00210160">
        <w:rPr>
          <w:noProof w:val="0"/>
        </w:rPr>
        <w:t xml:space="preserve"> key </w:t>
      </w:r>
      <w:r w:rsidRPr="00210160">
        <w:rPr>
          <w:noProof w:val="0"/>
        </w:rPr>
        <w:t>model</w:t>
      </w:r>
      <w:r w:rsidR="00AA5C4F" w:rsidRPr="00210160">
        <w:rPr>
          <w:noProof w:val="0"/>
        </w:rPr>
        <w:t xml:space="preserve"> </w:t>
      </w:r>
      <w:r w:rsidR="002C3489" w:rsidRPr="00210160">
        <w:rPr>
          <w:noProof w:val="0"/>
        </w:rPr>
        <w:t>information.</w:t>
      </w:r>
    </w:p>
    <w:p w14:paraId="37166766" w14:textId="4C03D267" w:rsidR="00832852" w:rsidRPr="00210160" w:rsidRDefault="00832852" w:rsidP="00713ED8">
      <w:pPr>
        <w:pStyle w:val="Heading2"/>
      </w:pPr>
      <w:bookmarkStart w:id="11" w:name="_Toc174351912"/>
      <w:bookmarkStart w:id="12" w:name="_Toc174351913"/>
      <w:bookmarkStart w:id="13" w:name="_Toc174351914"/>
      <w:bookmarkStart w:id="14" w:name="_Toc233032375"/>
      <w:bookmarkEnd w:id="11"/>
      <w:bookmarkEnd w:id="12"/>
      <w:bookmarkEnd w:id="13"/>
      <w:r w:rsidRPr="00210160">
        <w:t xml:space="preserve">Model </w:t>
      </w:r>
      <w:r w:rsidR="00630413" w:rsidRPr="00210160">
        <w:t xml:space="preserve">overview </w:t>
      </w:r>
      <w:r w:rsidR="00713ED8" w:rsidRPr="00210160">
        <w:t>–</w:t>
      </w:r>
      <w:r w:rsidR="00E86810" w:rsidRPr="00210160">
        <w:t xml:space="preserve"> inputs, outputs and use</w:t>
      </w:r>
      <w:bookmarkEnd w:id="14"/>
    </w:p>
    <w:p w14:paraId="04BDF27F" w14:textId="5A368567" w:rsidR="00794C59" w:rsidRPr="00210160" w:rsidRDefault="00794C59" w:rsidP="00713ED8">
      <w:pPr>
        <w:pStyle w:val="BodyText"/>
        <w:rPr>
          <w:i/>
          <w:noProof w:val="0"/>
          <w:color w:val="009EC2" w:themeColor="text2"/>
        </w:rPr>
      </w:pPr>
      <w:r w:rsidRPr="00210160">
        <w:rPr>
          <w:i/>
          <w:noProof w:val="0"/>
          <w:color w:val="009EC2" w:themeColor="text2"/>
        </w:rPr>
        <w:t>Model overview</w:t>
      </w:r>
    </w:p>
    <w:p w14:paraId="45A3E010" w14:textId="77777777" w:rsidR="000F278C" w:rsidRPr="00210160" w:rsidRDefault="000F278C" w:rsidP="000F278C">
      <w:pPr>
        <w:pStyle w:val="BodyText"/>
        <w:rPr>
          <w:noProof w:val="0"/>
        </w:rPr>
      </w:pPr>
      <w:r w:rsidRPr="00210160">
        <w:rPr>
          <w:noProof w:val="0"/>
        </w:rPr>
        <w:t xml:space="preserve">The </w:t>
      </w:r>
      <w:proofErr w:type="spellStart"/>
      <w:r w:rsidRPr="00210160">
        <w:rPr>
          <w:noProof w:val="0"/>
        </w:rPr>
        <w:t>CCaR</w:t>
      </w:r>
      <w:proofErr w:type="spellEnd"/>
      <w:r w:rsidRPr="00210160">
        <w:rPr>
          <w:noProof w:val="0"/>
        </w:rPr>
        <w:t xml:space="preserve"> model consist of three main components: </w:t>
      </w:r>
    </w:p>
    <w:p w14:paraId="2FC5BE7D" w14:textId="172F0387" w:rsidR="000F278C" w:rsidRPr="00210160" w:rsidRDefault="000F278C" w:rsidP="000F278C">
      <w:pPr>
        <w:pStyle w:val="Bullets"/>
        <w:rPr>
          <w:noProof w:val="0"/>
          <w:lang w:val="en-US"/>
        </w:rPr>
      </w:pPr>
      <w:r w:rsidRPr="00210160">
        <w:rPr>
          <w:noProof w:val="0"/>
          <w:lang w:val="en-US"/>
        </w:rPr>
        <w:t>Single risk factor shock generation</w:t>
      </w:r>
    </w:p>
    <w:p w14:paraId="33795745" w14:textId="77777777" w:rsidR="000F278C" w:rsidRPr="00210160" w:rsidRDefault="000F278C" w:rsidP="000F278C">
      <w:pPr>
        <w:pStyle w:val="Bullets"/>
        <w:rPr>
          <w:noProof w:val="0"/>
          <w:lang w:val="en-US"/>
        </w:rPr>
      </w:pPr>
      <w:r w:rsidRPr="00210160">
        <w:rPr>
          <w:noProof w:val="0"/>
          <w:lang w:val="en-US"/>
        </w:rPr>
        <w:t>Portfolio risk calculation; and</w:t>
      </w:r>
    </w:p>
    <w:p w14:paraId="6310CA57" w14:textId="50B10E2B" w:rsidR="000F278C" w:rsidRPr="00210160" w:rsidRDefault="000F278C" w:rsidP="000F278C">
      <w:pPr>
        <w:pStyle w:val="Bullets"/>
        <w:rPr>
          <w:noProof w:val="0"/>
          <w:lang w:val="en-US"/>
        </w:rPr>
      </w:pPr>
      <w:r w:rsidRPr="00210160">
        <w:rPr>
          <w:noProof w:val="0"/>
          <w:lang w:val="en-US"/>
        </w:rPr>
        <w:t>Stress loss calculation and aggregation.</w:t>
      </w:r>
    </w:p>
    <w:p w14:paraId="162F5243" w14:textId="77777777" w:rsidR="000F278C" w:rsidRPr="00210160" w:rsidRDefault="000F278C" w:rsidP="000F278C">
      <w:pPr>
        <w:pStyle w:val="BodyText"/>
        <w:rPr>
          <w:noProof w:val="0"/>
        </w:rPr>
      </w:pPr>
      <w:r w:rsidRPr="00210160">
        <w:rPr>
          <w:noProof w:val="0"/>
        </w:rPr>
        <w:t xml:space="preserve">The single risk factor shock generation is required to reflect extreme but plausible market conditions by Article 29 of EMIR 153/2013. For each of Nasdaq Clearing’s Clearing Services, the </w:t>
      </w:r>
      <w:proofErr w:type="spellStart"/>
      <w:r w:rsidRPr="00210160">
        <w:rPr>
          <w:noProof w:val="0"/>
        </w:rPr>
        <w:t>CCaR</w:t>
      </w:r>
      <w:proofErr w:type="spellEnd"/>
      <w:r w:rsidRPr="00210160">
        <w:rPr>
          <w:noProof w:val="0"/>
        </w:rPr>
        <w:t xml:space="preserve"> model calculates the stress loss per clearing member given three different approaches:</w:t>
      </w:r>
    </w:p>
    <w:p w14:paraId="307381F9" w14:textId="11F07248" w:rsidR="000F278C" w:rsidRPr="00210160" w:rsidRDefault="000F278C" w:rsidP="000F278C">
      <w:pPr>
        <w:pStyle w:val="Bullets"/>
        <w:rPr>
          <w:noProof w:val="0"/>
          <w:lang w:val="en-US"/>
        </w:rPr>
      </w:pPr>
      <w:r w:rsidRPr="00210160">
        <w:rPr>
          <w:noProof w:val="0"/>
          <w:lang w:val="en-US"/>
        </w:rPr>
        <w:t>Historical scenarios, where historical extreme events are identified and used for stress shock generation</w:t>
      </w:r>
    </w:p>
    <w:p w14:paraId="5A4DF8AF" w14:textId="505CE7A2" w:rsidR="000F278C" w:rsidRPr="00210160" w:rsidRDefault="000F278C" w:rsidP="000F278C">
      <w:pPr>
        <w:pStyle w:val="Bullets"/>
        <w:rPr>
          <w:noProof w:val="0"/>
          <w:lang w:val="en-US"/>
        </w:rPr>
      </w:pPr>
      <w:r w:rsidRPr="00210160">
        <w:rPr>
          <w:noProof w:val="0"/>
          <w:lang w:val="en-US"/>
        </w:rPr>
        <w:t>Hypothetical stress, where the 99.9 percentile market move, estimated using Extreme Value Theory, of each individual risk factor is used for stress shock generation</w:t>
      </w:r>
    </w:p>
    <w:p w14:paraId="7C4A397F" w14:textId="3FB5ECD5" w:rsidR="000F278C" w:rsidRPr="00210160" w:rsidRDefault="000F278C" w:rsidP="000F278C">
      <w:pPr>
        <w:pStyle w:val="Bullets"/>
        <w:rPr>
          <w:noProof w:val="0"/>
          <w:lang w:val="en-US"/>
        </w:rPr>
      </w:pPr>
      <w:r w:rsidRPr="00210160">
        <w:rPr>
          <w:noProof w:val="0"/>
          <w:lang w:val="en-US"/>
        </w:rPr>
        <w:t>Narrative stress, where scenarios are defined top-down and risk-factor shocks, portfolio assumptions, default assumptions etc. are considered in line with the overall narrative (and can leverage hypothetical, historical or other risk factor shocks)</w:t>
      </w:r>
    </w:p>
    <w:p w14:paraId="172FBEB6" w14:textId="2D09E405" w:rsidR="00673A47" w:rsidRPr="00210160" w:rsidRDefault="000F278C" w:rsidP="00673A47">
      <w:r w:rsidRPr="00210160">
        <w:t xml:space="preserve">Portfolio risk calculation is the second component of the </w:t>
      </w:r>
      <w:proofErr w:type="spellStart"/>
      <w:r w:rsidRPr="00210160">
        <w:t>CCaR</w:t>
      </w:r>
      <w:proofErr w:type="spellEnd"/>
      <w:r w:rsidRPr="00210160">
        <w:t xml:space="preserve"> model, where the combinations of directions of the calibrated individual </w:t>
      </w:r>
      <w:proofErr w:type="spellStart"/>
      <w:r w:rsidRPr="00210160">
        <w:t>shocks</w:t>
      </w:r>
      <w:proofErr w:type="spellEnd"/>
      <w:r w:rsidRPr="00210160">
        <w:t xml:space="preserve"> are applied at portfolio level based on stressed correlation assessments. Product areas (PAs) are defined to group the risk factors which are expected to show similar </w:t>
      </w:r>
      <w:r w:rsidR="00FB0057" w:rsidRPr="00210160">
        <w:t>behaviour</w:t>
      </w:r>
      <w:r w:rsidRPr="00210160">
        <w:t xml:space="preserve"> in a tail event. </w:t>
      </w:r>
      <w:r w:rsidR="00673A47" w:rsidRPr="00210160">
        <w:t>Correlation between PAs is assumed to be either full, or negative, selecting the scenario that gives the worst result.</w:t>
      </w:r>
    </w:p>
    <w:p w14:paraId="3BF07001" w14:textId="04C7A868" w:rsidR="00673A47" w:rsidRPr="00210160" w:rsidRDefault="00673A47" w:rsidP="006979A0">
      <w:r w:rsidRPr="00210160">
        <w:t xml:space="preserve">Finally, under each stress scenario and for each Margin Requirement Account (MRA), loss is defined as the difference in position value under stress compared to Initial Margin (calculated on the Margin Calculation Account level and aggregated to the Margin Requirement Account level) or the collateral available on the Margin Requirement Account, whichever is worst. Excess collateral is thus never considered, </w:t>
      </w:r>
      <w:r w:rsidR="00FB0057" w:rsidRPr="00210160">
        <w:t>whereas</w:t>
      </w:r>
      <w:r w:rsidRPr="00210160">
        <w:t xml:space="preserve"> a collateral shortfall compared to the margin requirement is considered.  </w:t>
      </w:r>
    </w:p>
    <w:p w14:paraId="4CB7EF64" w14:textId="77777777" w:rsidR="000F278C" w:rsidRPr="00210160" w:rsidRDefault="000F278C" w:rsidP="000F278C">
      <w:pPr>
        <w:pStyle w:val="BodyText"/>
        <w:rPr>
          <w:noProof w:val="0"/>
        </w:rPr>
      </w:pPr>
    </w:p>
    <w:p w14:paraId="047D4039" w14:textId="03FE7C9A" w:rsidR="00794C59" w:rsidRPr="00210160" w:rsidRDefault="00794C59" w:rsidP="00A6658B">
      <w:pPr>
        <w:pStyle w:val="BodyText"/>
        <w:rPr>
          <w:i/>
          <w:noProof w:val="0"/>
          <w:color w:val="009EC2" w:themeColor="text2"/>
        </w:rPr>
      </w:pPr>
      <w:r w:rsidRPr="00210160">
        <w:rPr>
          <w:i/>
          <w:noProof w:val="0"/>
          <w:color w:val="009EC2" w:themeColor="text2"/>
        </w:rPr>
        <w:t>Model input</w:t>
      </w:r>
    </w:p>
    <w:p w14:paraId="40A1190E" w14:textId="19F9B6FB" w:rsidR="000F278C" w:rsidRPr="00210160" w:rsidRDefault="000F278C" w:rsidP="00A6658B">
      <w:pPr>
        <w:pStyle w:val="BodyText"/>
        <w:rPr>
          <w:noProof w:val="0"/>
        </w:rPr>
      </w:pPr>
      <w:r w:rsidRPr="00210160">
        <w:rPr>
          <w:noProof w:val="0"/>
        </w:rPr>
        <w:t>Model input is historical market data for calibration of stress parameters (“</w:t>
      </w:r>
      <w:proofErr w:type="spellStart"/>
      <w:r w:rsidRPr="00210160">
        <w:rPr>
          <w:noProof w:val="0"/>
        </w:rPr>
        <w:t>CCaR</w:t>
      </w:r>
      <w:proofErr w:type="spellEnd"/>
      <w:r w:rsidRPr="00210160">
        <w:rPr>
          <w:noProof w:val="0"/>
        </w:rPr>
        <w:t xml:space="preserve"> parameters”) applied and correlation assumptions employed as well as clearing member positions for each account for stress loss calculations. The calculation engine takes the calibrated stress parameters and correlation structure as input.</w:t>
      </w:r>
    </w:p>
    <w:p w14:paraId="1BED7ABA" w14:textId="77777777" w:rsidR="000F278C" w:rsidRDefault="000F278C" w:rsidP="00A6658B">
      <w:pPr>
        <w:pStyle w:val="BodyText"/>
        <w:rPr>
          <w:noProof w:val="0"/>
        </w:rPr>
      </w:pPr>
    </w:p>
    <w:p w14:paraId="48045BB1" w14:textId="77777777" w:rsidR="009E7840" w:rsidRPr="00210160" w:rsidRDefault="009E7840" w:rsidP="00A6658B">
      <w:pPr>
        <w:pStyle w:val="BodyText"/>
        <w:rPr>
          <w:noProof w:val="0"/>
        </w:rPr>
      </w:pPr>
    </w:p>
    <w:p w14:paraId="40A81C0E" w14:textId="54158CA5" w:rsidR="00794C59" w:rsidRPr="00210160" w:rsidRDefault="00794C59" w:rsidP="00A6658B">
      <w:pPr>
        <w:pStyle w:val="BodyText"/>
        <w:rPr>
          <w:i/>
          <w:noProof w:val="0"/>
          <w:color w:val="009EC2" w:themeColor="text2"/>
        </w:rPr>
      </w:pPr>
      <w:r w:rsidRPr="00210160">
        <w:rPr>
          <w:i/>
          <w:noProof w:val="0"/>
          <w:color w:val="009EC2" w:themeColor="text2"/>
        </w:rPr>
        <w:lastRenderedPageBreak/>
        <w:t>Model output</w:t>
      </w:r>
    </w:p>
    <w:p w14:paraId="5918109D" w14:textId="77777777" w:rsidR="000F278C" w:rsidRPr="00210160" w:rsidRDefault="000F278C" w:rsidP="000F278C">
      <w:pPr>
        <w:jc w:val="both"/>
        <w:rPr>
          <w:rFonts w:cs="Calibri"/>
        </w:rPr>
      </w:pPr>
      <w:r w:rsidRPr="00210160">
        <w:rPr>
          <w:rFonts w:cs="Calibri"/>
        </w:rPr>
        <w:t>Currently, the model output presents the following results observed under the stressed market scenarios:</w:t>
      </w:r>
    </w:p>
    <w:p w14:paraId="4F007140" w14:textId="7C45595F" w:rsidR="000F278C" w:rsidRPr="00210160" w:rsidRDefault="000F278C" w:rsidP="007B040A">
      <w:pPr>
        <w:pStyle w:val="ListParagraph"/>
        <w:numPr>
          <w:ilvl w:val="0"/>
          <w:numId w:val="25"/>
        </w:numPr>
        <w:jc w:val="both"/>
        <w:rPr>
          <w:rFonts w:cs="Calibri"/>
        </w:rPr>
      </w:pPr>
      <w:r w:rsidRPr="00210160">
        <w:rPr>
          <w:rFonts w:cs="Calibri"/>
        </w:rPr>
        <w:t xml:space="preserve">Default of the two members that has the largest </w:t>
      </w:r>
      <w:r w:rsidR="004D4347" w:rsidRPr="00210160">
        <w:rPr>
          <w:rFonts w:cs="Calibri"/>
        </w:rPr>
        <w:t>loss.</w:t>
      </w:r>
    </w:p>
    <w:p w14:paraId="5F059278" w14:textId="2AF1CD18" w:rsidR="000F278C" w:rsidRPr="00210160" w:rsidRDefault="000F278C" w:rsidP="007B040A">
      <w:pPr>
        <w:pStyle w:val="ListParagraph"/>
        <w:numPr>
          <w:ilvl w:val="0"/>
          <w:numId w:val="25"/>
        </w:numPr>
        <w:jc w:val="both"/>
        <w:rPr>
          <w:rFonts w:cs="Calibri"/>
        </w:rPr>
      </w:pPr>
      <w:r w:rsidRPr="00210160">
        <w:rPr>
          <w:rFonts w:cs="Calibri"/>
        </w:rPr>
        <w:t xml:space="preserve">Default of the member that has the largest </w:t>
      </w:r>
      <w:r w:rsidR="004D4347" w:rsidRPr="00210160">
        <w:rPr>
          <w:rFonts w:cs="Calibri"/>
        </w:rPr>
        <w:t>loss.</w:t>
      </w:r>
    </w:p>
    <w:p w14:paraId="73D0E6D9" w14:textId="0DED5923" w:rsidR="000F278C" w:rsidRPr="00210160" w:rsidRDefault="000F278C" w:rsidP="007B040A">
      <w:pPr>
        <w:pStyle w:val="ListParagraph"/>
        <w:numPr>
          <w:ilvl w:val="0"/>
          <w:numId w:val="25"/>
        </w:numPr>
        <w:jc w:val="both"/>
        <w:rPr>
          <w:rFonts w:cs="Calibri"/>
        </w:rPr>
      </w:pPr>
      <w:r w:rsidRPr="00210160">
        <w:rPr>
          <w:rFonts w:cs="Calibri"/>
        </w:rPr>
        <w:t xml:space="preserve">Default of the member that has the second largest </w:t>
      </w:r>
      <w:r w:rsidR="004D4347" w:rsidRPr="00210160">
        <w:rPr>
          <w:rFonts w:cs="Calibri"/>
        </w:rPr>
        <w:t>loss.</w:t>
      </w:r>
    </w:p>
    <w:p w14:paraId="30350A32" w14:textId="2BA353D4" w:rsidR="000F278C" w:rsidRPr="00210160" w:rsidRDefault="000F278C" w:rsidP="007B040A">
      <w:pPr>
        <w:pStyle w:val="ListParagraph"/>
        <w:numPr>
          <w:ilvl w:val="0"/>
          <w:numId w:val="25"/>
        </w:numPr>
        <w:jc w:val="both"/>
        <w:rPr>
          <w:rFonts w:cs="Calibri"/>
        </w:rPr>
      </w:pPr>
      <w:r w:rsidRPr="00210160">
        <w:rPr>
          <w:rFonts w:cs="Calibri"/>
        </w:rPr>
        <w:t xml:space="preserve">Default of the two members that has the second and third largest </w:t>
      </w:r>
      <w:r w:rsidR="004D4347" w:rsidRPr="00210160">
        <w:rPr>
          <w:rFonts w:cs="Calibri"/>
        </w:rPr>
        <w:t>loss.</w:t>
      </w:r>
    </w:p>
    <w:p w14:paraId="7DD4E146" w14:textId="5B327892" w:rsidR="000F278C" w:rsidRPr="00210160" w:rsidRDefault="000F278C" w:rsidP="007B040A">
      <w:pPr>
        <w:pStyle w:val="ListParagraph"/>
        <w:numPr>
          <w:ilvl w:val="0"/>
          <w:numId w:val="25"/>
        </w:numPr>
        <w:jc w:val="both"/>
        <w:rPr>
          <w:rFonts w:cs="Calibri"/>
        </w:rPr>
      </w:pPr>
      <w:r w:rsidRPr="00210160">
        <w:rPr>
          <w:rFonts w:cs="Calibri"/>
        </w:rPr>
        <w:t xml:space="preserve">Individually worst loss over initial margin per member, allowing scenarios driving these figures to vary between </w:t>
      </w:r>
      <w:r w:rsidR="004D4347" w:rsidRPr="00210160">
        <w:rPr>
          <w:rFonts w:cs="Calibri"/>
        </w:rPr>
        <w:t>members.</w:t>
      </w:r>
    </w:p>
    <w:p w14:paraId="6AD334B6" w14:textId="3A82EBBC" w:rsidR="000F278C" w:rsidRPr="00210160" w:rsidRDefault="000F278C" w:rsidP="007B040A">
      <w:pPr>
        <w:pStyle w:val="ListParagraph"/>
        <w:numPr>
          <w:ilvl w:val="0"/>
          <w:numId w:val="25"/>
        </w:numPr>
        <w:jc w:val="both"/>
        <w:rPr>
          <w:rFonts w:cs="Calibri"/>
        </w:rPr>
      </w:pPr>
      <w:r w:rsidRPr="00210160">
        <w:rPr>
          <w:rFonts w:cs="Calibri"/>
        </w:rPr>
        <w:t>Loss over initial margin per member in each of the stress scenarios.</w:t>
      </w:r>
    </w:p>
    <w:p w14:paraId="4B9A5999" w14:textId="77777777" w:rsidR="000F278C" w:rsidRPr="00210160" w:rsidRDefault="000F278C" w:rsidP="000F278C">
      <w:pPr>
        <w:pStyle w:val="ListParagraph"/>
        <w:jc w:val="both"/>
        <w:rPr>
          <w:rFonts w:cs="Calibri"/>
        </w:rPr>
      </w:pPr>
    </w:p>
    <w:p w14:paraId="6BB89613" w14:textId="54A63CE8" w:rsidR="00794C59" w:rsidRPr="00210160" w:rsidRDefault="00794C59" w:rsidP="0079335B">
      <w:pPr>
        <w:jc w:val="both"/>
        <w:rPr>
          <w:i/>
          <w:color w:val="009EC2" w:themeColor="text2"/>
        </w:rPr>
      </w:pPr>
      <w:r w:rsidRPr="00210160">
        <w:rPr>
          <w:i/>
          <w:color w:val="009EC2" w:themeColor="text2"/>
        </w:rPr>
        <w:t>Model use</w:t>
      </w:r>
    </w:p>
    <w:p w14:paraId="760B42AF" w14:textId="5FBCAF4A" w:rsidR="00183E5C" w:rsidRPr="00210160" w:rsidRDefault="00183E5C" w:rsidP="00183E5C">
      <w:r w:rsidRPr="00210160">
        <w:t xml:space="preserve">The model is used to calculate cover-1 and cover-2 stress losses for default fund sizing and for liquidity at risk calculation, to size the IM / </w:t>
      </w:r>
      <w:proofErr w:type="spellStart"/>
      <w:r w:rsidRPr="00210160">
        <w:t>CCaR</w:t>
      </w:r>
      <w:proofErr w:type="spellEnd"/>
      <w:r w:rsidRPr="00210160">
        <w:t xml:space="preserve"> ratio used in the stress IM add-on and for reporting</w:t>
      </w:r>
      <w:r w:rsidR="006C3DA7">
        <w:t xml:space="preserve"> and </w:t>
      </w:r>
      <w:r w:rsidRPr="00210160">
        <w:t>evaluation of model performance</w:t>
      </w:r>
      <w:r w:rsidR="006C3DA7">
        <w:t>.</w:t>
      </w:r>
    </w:p>
    <w:p w14:paraId="290A374D" w14:textId="77777777" w:rsidR="00183E5C" w:rsidRPr="00210160" w:rsidRDefault="00183E5C" w:rsidP="00183E5C">
      <w:r w:rsidRPr="00210160">
        <w:t>The following models are noted as upstream models:</w:t>
      </w:r>
    </w:p>
    <w:p w14:paraId="07F8450A" w14:textId="15C50314" w:rsidR="00183E5C" w:rsidRDefault="00183E5C" w:rsidP="00183E5C">
      <w:pPr>
        <w:pStyle w:val="Bullets"/>
        <w:rPr>
          <w:noProof w:val="0"/>
          <w:lang w:val="en-US"/>
        </w:rPr>
      </w:pPr>
      <w:r w:rsidRPr="00210160">
        <w:rPr>
          <w:noProof w:val="0"/>
          <w:lang w:val="en-US"/>
        </w:rPr>
        <w:t>Margin models – OMS II</w:t>
      </w:r>
      <w:r w:rsidR="006C3DA7">
        <w:rPr>
          <w:noProof w:val="0"/>
          <w:lang w:val="en-US"/>
        </w:rPr>
        <w:t xml:space="preserve"> and</w:t>
      </w:r>
      <w:r w:rsidRPr="00210160">
        <w:rPr>
          <w:noProof w:val="0"/>
          <w:lang w:val="en-US"/>
        </w:rPr>
        <w:t xml:space="preserve"> CFM for calculation of stressed market value.</w:t>
      </w:r>
    </w:p>
    <w:p w14:paraId="6349FE21" w14:textId="65B5B48E" w:rsidR="005875DC" w:rsidRPr="00210160" w:rsidRDefault="005875DC" w:rsidP="00183E5C">
      <w:pPr>
        <w:pStyle w:val="Bullets"/>
        <w:rPr>
          <w:noProof w:val="0"/>
          <w:lang w:val="en-US"/>
        </w:rPr>
      </w:pPr>
      <w:r>
        <w:rPr>
          <w:noProof w:val="0"/>
          <w:lang w:val="en-US"/>
        </w:rPr>
        <w:t>The concentration margin models for Fixed Income, Equity and Commodities for several calculations related to stress components related to liquidation costs.</w:t>
      </w:r>
    </w:p>
    <w:p w14:paraId="5A7D4FB9" w14:textId="77777777" w:rsidR="00183E5C" w:rsidRPr="00210160" w:rsidRDefault="00183E5C" w:rsidP="00183E5C">
      <w:r w:rsidRPr="00210160">
        <w:t>The following models are noted as downstream models:</w:t>
      </w:r>
    </w:p>
    <w:p w14:paraId="146843CD" w14:textId="15009158" w:rsidR="00183E5C" w:rsidRPr="00210160" w:rsidRDefault="00183E5C" w:rsidP="00183E5C">
      <w:pPr>
        <w:pStyle w:val="Bullets"/>
        <w:rPr>
          <w:noProof w:val="0"/>
          <w:lang w:val="en-US"/>
        </w:rPr>
      </w:pPr>
      <w:r w:rsidRPr="00210160">
        <w:rPr>
          <w:noProof w:val="0"/>
          <w:lang w:val="en-US"/>
        </w:rPr>
        <w:t xml:space="preserve">Liquidity at Risk – where liquidity stress from potential defaults </w:t>
      </w:r>
      <w:r w:rsidR="00A90C7F">
        <w:rPr>
          <w:noProof w:val="0"/>
          <w:lang w:val="en-US"/>
        </w:rPr>
        <w:t>is</w:t>
      </w:r>
      <w:r w:rsidRPr="00210160">
        <w:rPr>
          <w:noProof w:val="0"/>
          <w:lang w:val="en-US"/>
        </w:rPr>
        <w:t xml:space="preserve"> sized with </w:t>
      </w:r>
      <w:proofErr w:type="spellStart"/>
      <w:r w:rsidRPr="00210160">
        <w:rPr>
          <w:noProof w:val="0"/>
          <w:lang w:val="en-US"/>
        </w:rPr>
        <w:t>CCaR</w:t>
      </w:r>
      <w:proofErr w:type="spellEnd"/>
    </w:p>
    <w:p w14:paraId="1974AFF3" w14:textId="26AC6F51" w:rsidR="0019441A" w:rsidRPr="00210160" w:rsidRDefault="00183E5C" w:rsidP="00AE30B6">
      <w:pPr>
        <w:pStyle w:val="Bullets"/>
        <w:rPr>
          <w:noProof w:val="0"/>
          <w:lang w:val="en-US"/>
        </w:rPr>
      </w:pPr>
      <w:r w:rsidRPr="00210160">
        <w:rPr>
          <w:noProof w:val="0"/>
          <w:lang w:val="en-US"/>
        </w:rPr>
        <w:t xml:space="preserve">Stress Margin add-on – where the “IM / </w:t>
      </w:r>
      <w:proofErr w:type="spellStart"/>
      <w:r w:rsidRPr="00210160">
        <w:rPr>
          <w:noProof w:val="0"/>
          <w:lang w:val="en-US"/>
        </w:rPr>
        <w:t>CCaR</w:t>
      </w:r>
      <w:proofErr w:type="spellEnd"/>
      <w:r w:rsidRPr="00210160">
        <w:rPr>
          <w:noProof w:val="0"/>
          <w:lang w:val="en-US"/>
        </w:rPr>
        <w:t>” ratio is based on point 5 above</w:t>
      </w:r>
    </w:p>
    <w:p w14:paraId="76FC536C" w14:textId="6C618B5B" w:rsidR="009B393C" w:rsidRPr="00210160" w:rsidRDefault="009B393C" w:rsidP="009A6985">
      <w:pPr>
        <w:pStyle w:val="Heading2"/>
      </w:pPr>
      <w:bookmarkStart w:id="15" w:name="_Toc174351916"/>
      <w:bookmarkStart w:id="16" w:name="_Toc174351917"/>
      <w:bookmarkStart w:id="17" w:name="_Toc174351918"/>
      <w:bookmarkStart w:id="18" w:name="_Toc174351919"/>
      <w:bookmarkStart w:id="19" w:name="_Toc174351920"/>
      <w:bookmarkStart w:id="20" w:name="_Toc174351921"/>
      <w:bookmarkStart w:id="21" w:name="_Toc174351922"/>
      <w:bookmarkStart w:id="22" w:name="_Toc233032376"/>
      <w:bookmarkEnd w:id="15"/>
      <w:bookmarkEnd w:id="16"/>
      <w:bookmarkEnd w:id="17"/>
      <w:bookmarkEnd w:id="18"/>
      <w:bookmarkEnd w:id="19"/>
      <w:bookmarkEnd w:id="20"/>
      <w:bookmarkEnd w:id="21"/>
      <w:r w:rsidRPr="00210160">
        <w:t>Materiality/importance of the model</w:t>
      </w:r>
      <w:bookmarkEnd w:id="22"/>
    </w:p>
    <w:p w14:paraId="728A46E3" w14:textId="184BDB5E" w:rsidR="004A41DB" w:rsidRPr="00210160" w:rsidRDefault="00794C59" w:rsidP="009A6985">
      <w:pPr>
        <w:pStyle w:val="BodyText"/>
        <w:rPr>
          <w:noProof w:val="0"/>
        </w:rPr>
      </w:pPr>
      <w:r w:rsidRPr="00210160">
        <w:rPr>
          <w:noProof w:val="0"/>
        </w:rPr>
        <w:t>As the model is used to size the default fund</w:t>
      </w:r>
      <w:r w:rsidR="006C3DA7">
        <w:rPr>
          <w:noProof w:val="0"/>
        </w:rPr>
        <w:t xml:space="preserve"> and </w:t>
      </w:r>
      <w:r w:rsidR="00003F37" w:rsidRPr="00210160">
        <w:rPr>
          <w:noProof w:val="0"/>
        </w:rPr>
        <w:t>clearing capital</w:t>
      </w:r>
      <w:r w:rsidRPr="00210160">
        <w:rPr>
          <w:noProof w:val="0"/>
        </w:rPr>
        <w:t xml:space="preserve">, the materiality </w:t>
      </w:r>
      <w:r w:rsidR="00D13979" w:rsidRPr="00210160">
        <w:rPr>
          <w:noProof w:val="0"/>
        </w:rPr>
        <w:t xml:space="preserve">and importance </w:t>
      </w:r>
      <w:r w:rsidRPr="00210160">
        <w:rPr>
          <w:noProof w:val="0"/>
        </w:rPr>
        <w:t>of the model is deemed high.</w:t>
      </w:r>
    </w:p>
    <w:p w14:paraId="0312CDC1" w14:textId="5E8AF056" w:rsidR="00B358C1" w:rsidRPr="00210160" w:rsidRDefault="00B358C1" w:rsidP="009A6985">
      <w:pPr>
        <w:pStyle w:val="Heading2"/>
      </w:pPr>
      <w:bookmarkStart w:id="23" w:name="_Toc38438908"/>
      <w:bookmarkStart w:id="24" w:name="_Toc233032377"/>
      <w:r w:rsidRPr="00210160">
        <w:t>Platforms/Software/Vendor systems used</w:t>
      </w:r>
      <w:bookmarkEnd w:id="23"/>
      <w:bookmarkEnd w:id="24"/>
    </w:p>
    <w:p w14:paraId="7EE9269A" w14:textId="298C963E" w:rsidR="00673A47" w:rsidRPr="00210160" w:rsidRDefault="00673A47" w:rsidP="002B1DFC">
      <w:r w:rsidRPr="00210160">
        <w:t xml:space="preserve">The model is implemented in </w:t>
      </w:r>
      <w:proofErr w:type="spellStart"/>
      <w:r w:rsidRPr="00210160">
        <w:t>Genium</w:t>
      </w:r>
      <w:proofErr w:type="spellEnd"/>
      <w:r w:rsidRPr="00210160">
        <w:t xml:space="preserve"> INET, a proprietary Nasdaq software</w:t>
      </w:r>
      <w:r w:rsidR="002B1DFC">
        <w:t>.</w:t>
      </w:r>
    </w:p>
    <w:p w14:paraId="642BC8A1" w14:textId="24A4B4FF" w:rsidR="00AF63DC" w:rsidRPr="00210160" w:rsidRDefault="00AF63DC" w:rsidP="009A6985">
      <w:pPr>
        <w:pStyle w:val="Heading2"/>
      </w:pPr>
      <w:bookmarkStart w:id="25" w:name="_Toc233032378"/>
      <w:r w:rsidRPr="00210160">
        <w:t>Outline of risk factors</w:t>
      </w:r>
      <w:bookmarkEnd w:id="25"/>
      <w:r w:rsidRPr="00210160">
        <w:t xml:space="preserve"> </w:t>
      </w:r>
    </w:p>
    <w:p w14:paraId="7EBCB641" w14:textId="33012CE1" w:rsidR="006934CF" w:rsidRPr="00210160" w:rsidRDefault="00B35C07" w:rsidP="009A6985">
      <w:pPr>
        <w:pStyle w:val="BodyText"/>
        <w:rPr>
          <w:noProof w:val="0"/>
        </w:rPr>
      </w:pPr>
      <w:r w:rsidRPr="00210160">
        <w:rPr>
          <w:noProof w:val="0"/>
        </w:rPr>
        <w:t>Key risk factors in the model are</w:t>
      </w:r>
      <w:r w:rsidR="0036385D" w:rsidRPr="00210160">
        <w:rPr>
          <w:noProof w:val="0"/>
        </w:rPr>
        <w:t>:</w:t>
      </w:r>
    </w:p>
    <w:p w14:paraId="5E02A4F0" w14:textId="0BB20F7E" w:rsidR="0036385D" w:rsidRPr="00210160" w:rsidRDefault="0036385D" w:rsidP="00C34C06">
      <w:pPr>
        <w:pStyle w:val="Bullets"/>
        <w:rPr>
          <w:noProof w:val="0"/>
          <w:lang w:val="en-US"/>
        </w:rPr>
      </w:pPr>
      <w:r w:rsidRPr="00210160">
        <w:rPr>
          <w:noProof w:val="0"/>
          <w:lang w:val="en-US"/>
        </w:rPr>
        <w:t>Interest rates</w:t>
      </w:r>
    </w:p>
    <w:p w14:paraId="4909180F" w14:textId="7C8B9109" w:rsidR="0036385D" w:rsidRPr="00210160" w:rsidRDefault="0036385D" w:rsidP="00C34C06">
      <w:pPr>
        <w:pStyle w:val="Bullets"/>
        <w:rPr>
          <w:noProof w:val="0"/>
          <w:lang w:val="en-US"/>
        </w:rPr>
      </w:pPr>
      <w:r w:rsidRPr="00210160">
        <w:rPr>
          <w:noProof w:val="0"/>
          <w:lang w:val="en-US"/>
        </w:rPr>
        <w:t>Equity prices</w:t>
      </w:r>
    </w:p>
    <w:p w14:paraId="1147F132" w14:textId="1403C1A5" w:rsidR="0036385D" w:rsidRPr="00210160" w:rsidRDefault="0036385D" w:rsidP="00C34C06">
      <w:pPr>
        <w:pStyle w:val="Bullets"/>
        <w:rPr>
          <w:noProof w:val="0"/>
          <w:lang w:val="en-US"/>
        </w:rPr>
      </w:pPr>
      <w:r w:rsidRPr="00210160">
        <w:rPr>
          <w:noProof w:val="0"/>
          <w:lang w:val="en-US"/>
        </w:rPr>
        <w:t>Implied volatilities across the above</w:t>
      </w:r>
    </w:p>
    <w:p w14:paraId="6F288206" w14:textId="0A99DF70" w:rsidR="0036385D" w:rsidRPr="00210160" w:rsidRDefault="0036385D" w:rsidP="00C34C06">
      <w:pPr>
        <w:pStyle w:val="Bullets"/>
        <w:rPr>
          <w:noProof w:val="0"/>
          <w:lang w:val="en-US"/>
        </w:rPr>
      </w:pPr>
      <w:r w:rsidRPr="00210160">
        <w:rPr>
          <w:noProof w:val="0"/>
          <w:lang w:val="en-US"/>
        </w:rPr>
        <w:lastRenderedPageBreak/>
        <w:t xml:space="preserve">FX risk (for cleared exposures, </w:t>
      </w:r>
      <w:r w:rsidR="00D13979" w:rsidRPr="00210160">
        <w:rPr>
          <w:noProof w:val="0"/>
          <w:lang w:val="en-US"/>
        </w:rPr>
        <w:t xml:space="preserve">note that </w:t>
      </w:r>
      <w:r w:rsidRPr="00210160">
        <w:rPr>
          <w:noProof w:val="0"/>
          <w:lang w:val="en-US"/>
        </w:rPr>
        <w:t>collateral FX risk is handled by collateral haircuts</w:t>
      </w:r>
      <w:r w:rsidR="00D13979" w:rsidRPr="00210160">
        <w:rPr>
          <w:noProof w:val="0"/>
          <w:lang w:val="en-US"/>
        </w:rPr>
        <w:t>)</w:t>
      </w:r>
    </w:p>
    <w:p w14:paraId="605A3E1D" w14:textId="1CC9ACFD" w:rsidR="0036385D" w:rsidRPr="00210160" w:rsidRDefault="0036385D" w:rsidP="00C34C06">
      <w:pPr>
        <w:pStyle w:val="Bullets"/>
        <w:rPr>
          <w:noProof w:val="0"/>
          <w:lang w:val="en-US"/>
        </w:rPr>
      </w:pPr>
      <w:r w:rsidRPr="00210160">
        <w:rPr>
          <w:noProof w:val="0"/>
          <w:lang w:val="en-US"/>
        </w:rPr>
        <w:t>Liquidation cost under stressed market conditions</w:t>
      </w:r>
    </w:p>
    <w:p w14:paraId="24D187A2" w14:textId="4BE050FB" w:rsidR="00183E5C" w:rsidRPr="00210160" w:rsidRDefault="00183E5C" w:rsidP="00183E5C">
      <w:pPr>
        <w:pStyle w:val="Caption"/>
        <w:rPr>
          <w:lang w:val="en-US"/>
        </w:rPr>
      </w:pPr>
    </w:p>
    <w:p w14:paraId="44AD4CC7" w14:textId="77777777" w:rsidR="00183E5C" w:rsidRPr="00210160" w:rsidRDefault="00183E5C" w:rsidP="00183E5C"/>
    <w:p w14:paraId="67AE718F" w14:textId="241C8816" w:rsidR="00B750CB" w:rsidRPr="00210160" w:rsidRDefault="00B750CB" w:rsidP="00F3264A">
      <w:pPr>
        <w:pStyle w:val="Bullets"/>
        <w:numPr>
          <w:ilvl w:val="0"/>
          <w:numId w:val="0"/>
        </w:numPr>
        <w:rPr>
          <w:noProof w:val="0"/>
          <w:lang w:val="en-US"/>
        </w:rPr>
      </w:pPr>
    </w:p>
    <w:p w14:paraId="401CB18A" w14:textId="77777777" w:rsidR="00183E5C" w:rsidRPr="00210160" w:rsidRDefault="00183E5C" w:rsidP="00183E5C">
      <w:pPr>
        <w:pStyle w:val="Bullets"/>
        <w:numPr>
          <w:ilvl w:val="0"/>
          <w:numId w:val="0"/>
        </w:numPr>
        <w:ind w:left="720" w:hanging="360"/>
        <w:rPr>
          <w:noProof w:val="0"/>
          <w:lang w:val="en-US"/>
        </w:rPr>
      </w:pPr>
    </w:p>
    <w:p w14:paraId="1AEC0C3F" w14:textId="5F8D4745" w:rsidR="00630413" w:rsidRPr="00210160" w:rsidRDefault="00630413" w:rsidP="00183E5C">
      <w:pPr>
        <w:pStyle w:val="Heading1"/>
      </w:pPr>
      <w:bookmarkStart w:id="26" w:name="_Toc37787035"/>
      <w:bookmarkStart w:id="27" w:name="_Toc233032379"/>
      <w:r w:rsidRPr="00210160">
        <w:lastRenderedPageBreak/>
        <w:t>Stress exposure and risk factor identification</w:t>
      </w:r>
      <w:bookmarkEnd w:id="26"/>
      <w:bookmarkEnd w:id="27"/>
    </w:p>
    <w:p w14:paraId="49F4195A" w14:textId="37992D92" w:rsidR="004A41DB" w:rsidRPr="00210160" w:rsidRDefault="004A41DB" w:rsidP="00C34C06">
      <w:pPr>
        <w:pStyle w:val="BodyText"/>
        <w:rPr>
          <w:noProof w:val="0"/>
        </w:rPr>
      </w:pPr>
      <w:r w:rsidRPr="00210160">
        <w:rPr>
          <w:noProof w:val="0"/>
        </w:rPr>
        <w:t xml:space="preserve">This chapter outlines the exposures covered by the </w:t>
      </w:r>
      <w:proofErr w:type="spellStart"/>
      <w:r w:rsidRPr="00210160">
        <w:rPr>
          <w:noProof w:val="0"/>
        </w:rPr>
        <w:t>CCaR</w:t>
      </w:r>
      <w:proofErr w:type="spellEnd"/>
      <w:r w:rsidRPr="00210160">
        <w:rPr>
          <w:noProof w:val="0"/>
        </w:rPr>
        <w:t xml:space="preserve"> model and the key risk factors.</w:t>
      </w:r>
    </w:p>
    <w:p w14:paraId="6C9E7CEA" w14:textId="77777777" w:rsidR="00630413" w:rsidRPr="00210160" w:rsidRDefault="00630413" w:rsidP="00C34C06">
      <w:pPr>
        <w:pStyle w:val="Heading2"/>
      </w:pPr>
      <w:bookmarkStart w:id="28" w:name="_Toc37787036"/>
      <w:bookmarkStart w:id="29" w:name="_Toc233032380"/>
      <w:r w:rsidRPr="00210160">
        <w:t>Types of credit stress exposure faced by the CCP</w:t>
      </w:r>
      <w:bookmarkEnd w:id="28"/>
      <w:bookmarkEnd w:id="29"/>
    </w:p>
    <w:p w14:paraId="172B0769" w14:textId="77777777" w:rsidR="00630413" w:rsidRPr="00210160" w:rsidRDefault="00630413" w:rsidP="00C34C06">
      <w:pPr>
        <w:pStyle w:val="Heading3"/>
      </w:pPr>
      <w:bookmarkStart w:id="30" w:name="_Toc37787037"/>
      <w:r w:rsidRPr="00210160">
        <w:t>Credit risk and credit concentration risk</w:t>
      </w:r>
      <w:bookmarkEnd w:id="30"/>
    </w:p>
    <w:p w14:paraId="68C7F7EC" w14:textId="46BA5E51" w:rsidR="00630413" w:rsidRPr="00210160" w:rsidRDefault="00630413" w:rsidP="00C34C06">
      <w:pPr>
        <w:pStyle w:val="BodyText"/>
        <w:rPr>
          <w:noProof w:val="0"/>
        </w:rPr>
      </w:pPr>
      <w:r w:rsidRPr="00210160">
        <w:rPr>
          <w:noProof w:val="0"/>
        </w:rPr>
        <w:t xml:space="preserve">The CCP is exposed to credit risk </w:t>
      </w:r>
      <w:r w:rsidR="00C91B96" w:rsidRPr="00210160">
        <w:rPr>
          <w:noProof w:val="0"/>
        </w:rPr>
        <w:t>from it</w:t>
      </w:r>
      <w:r w:rsidR="009D5508" w:rsidRPr="00210160">
        <w:rPr>
          <w:noProof w:val="0"/>
        </w:rPr>
        <w:t>s</w:t>
      </w:r>
      <w:r w:rsidR="00C91B96" w:rsidRPr="00210160">
        <w:rPr>
          <w:noProof w:val="0"/>
        </w:rPr>
        <w:t xml:space="preserve"> clearing members, and the risk can materialize </w:t>
      </w:r>
      <w:r w:rsidRPr="00210160">
        <w:rPr>
          <w:noProof w:val="0"/>
        </w:rPr>
        <w:t xml:space="preserve">if one of its clearing members defaults. The credit risk exposure depends on </w:t>
      </w:r>
      <w:r w:rsidR="00121876" w:rsidRPr="00210160">
        <w:rPr>
          <w:noProof w:val="0"/>
        </w:rPr>
        <w:t>t</w:t>
      </w:r>
      <w:r w:rsidRPr="00210160">
        <w:rPr>
          <w:noProof w:val="0"/>
        </w:rPr>
        <w:t xml:space="preserve">he </w:t>
      </w:r>
      <w:r w:rsidR="00C91B96" w:rsidRPr="00210160">
        <w:rPr>
          <w:noProof w:val="0"/>
        </w:rPr>
        <w:t xml:space="preserve">composition of the </w:t>
      </w:r>
      <w:r w:rsidRPr="00210160">
        <w:rPr>
          <w:noProof w:val="0"/>
        </w:rPr>
        <w:t xml:space="preserve">clearing member’s cleared portfolio(s) and </w:t>
      </w:r>
      <w:r w:rsidR="00C91B96" w:rsidRPr="00210160">
        <w:rPr>
          <w:noProof w:val="0"/>
        </w:rPr>
        <w:t xml:space="preserve">any </w:t>
      </w:r>
      <w:r w:rsidRPr="00210160">
        <w:rPr>
          <w:noProof w:val="0"/>
        </w:rPr>
        <w:t>collateral</w:t>
      </w:r>
      <w:r w:rsidR="00C91B96" w:rsidRPr="00210160">
        <w:rPr>
          <w:noProof w:val="0"/>
        </w:rPr>
        <w:t xml:space="preserve"> held by Nasdaq Clearing against the portfolios</w:t>
      </w:r>
      <w:r w:rsidR="00121876" w:rsidRPr="00210160">
        <w:rPr>
          <w:noProof w:val="0"/>
        </w:rPr>
        <w:t>. The credit risk exposure is captured in Nasdaq Clearing’s model landscape through:</w:t>
      </w:r>
    </w:p>
    <w:p w14:paraId="590D9293" w14:textId="338315D6" w:rsidR="00121876" w:rsidRPr="00210160" w:rsidRDefault="00121876" w:rsidP="00C34C06">
      <w:pPr>
        <w:pStyle w:val="Bullets"/>
        <w:rPr>
          <w:noProof w:val="0"/>
          <w:lang w:val="en-US"/>
        </w:rPr>
      </w:pPr>
      <w:r w:rsidRPr="00210160">
        <w:rPr>
          <w:noProof w:val="0"/>
          <w:lang w:val="en-US"/>
        </w:rPr>
        <w:t>Credit risk exposure due to value fluctuations of the cleared portfolio under normal market conditions is covered in the respective Initial Margin models deployed by Nasdaq Clearing</w:t>
      </w:r>
    </w:p>
    <w:p w14:paraId="5A7EFC17" w14:textId="622DE359" w:rsidR="00630413" w:rsidRPr="00210160" w:rsidRDefault="00630413" w:rsidP="00C34C06">
      <w:pPr>
        <w:pStyle w:val="Bullets"/>
        <w:rPr>
          <w:noProof w:val="0"/>
          <w:lang w:val="en-US"/>
        </w:rPr>
      </w:pPr>
      <w:r w:rsidRPr="00210160">
        <w:rPr>
          <w:noProof w:val="0"/>
          <w:lang w:val="en-US"/>
        </w:rPr>
        <w:t xml:space="preserve">Credit risk exposure due to value fluctuations of the cleared portfolio under extreme but plausible market conditions is covered in the </w:t>
      </w:r>
      <w:proofErr w:type="spellStart"/>
      <w:r w:rsidRPr="00210160">
        <w:rPr>
          <w:noProof w:val="0"/>
          <w:lang w:val="en-US"/>
        </w:rPr>
        <w:t>CCaR</w:t>
      </w:r>
      <w:proofErr w:type="spellEnd"/>
      <w:r w:rsidRPr="00210160">
        <w:rPr>
          <w:noProof w:val="0"/>
          <w:lang w:val="en-US"/>
        </w:rPr>
        <w:t xml:space="preserve"> model</w:t>
      </w:r>
    </w:p>
    <w:p w14:paraId="5499D2A6" w14:textId="77777777" w:rsidR="00630413" w:rsidRPr="00210160" w:rsidRDefault="00630413" w:rsidP="00C34C06">
      <w:pPr>
        <w:pStyle w:val="Bullets"/>
        <w:rPr>
          <w:noProof w:val="0"/>
          <w:lang w:val="en-US"/>
        </w:rPr>
      </w:pPr>
      <w:r w:rsidRPr="00210160">
        <w:rPr>
          <w:noProof w:val="0"/>
          <w:lang w:val="en-US"/>
        </w:rPr>
        <w:t>Credit risk exposure due to value fluctuations of collateral posted by the member are accounted for in the collateral haircuts employed by Nasdaq Clearing</w:t>
      </w:r>
    </w:p>
    <w:p w14:paraId="0BF080DF" w14:textId="38ED9B3A" w:rsidR="00121876" w:rsidRPr="00210160" w:rsidRDefault="00630413" w:rsidP="00C34C06">
      <w:pPr>
        <w:pStyle w:val="Bullets"/>
        <w:rPr>
          <w:noProof w:val="0"/>
          <w:lang w:val="en-US"/>
        </w:rPr>
      </w:pPr>
      <w:r w:rsidRPr="00210160">
        <w:rPr>
          <w:noProof w:val="0"/>
          <w:lang w:val="en-US"/>
        </w:rPr>
        <w:t>Credit risk exposure due to combined effects on cleared portfolio and collateral, e.g. wrong-way-risk, are further identified, mitigated and reported as part of narrative stress testing</w:t>
      </w:r>
    </w:p>
    <w:p w14:paraId="3E2F9A39" w14:textId="5A39FDEC" w:rsidR="00630413" w:rsidRPr="00210160" w:rsidRDefault="00121876" w:rsidP="00C34C06">
      <w:pPr>
        <w:pStyle w:val="Bullets"/>
        <w:rPr>
          <w:noProof w:val="0"/>
          <w:lang w:val="en-US"/>
        </w:rPr>
      </w:pPr>
      <w:r w:rsidRPr="00210160">
        <w:rPr>
          <w:noProof w:val="0"/>
          <w:lang w:val="en-US"/>
        </w:rPr>
        <w:t>C</w:t>
      </w:r>
      <w:r w:rsidR="00630413" w:rsidRPr="00210160">
        <w:rPr>
          <w:noProof w:val="0"/>
          <w:lang w:val="en-US"/>
        </w:rPr>
        <w:t xml:space="preserve">oncentration risk towards particularly </w:t>
      </w:r>
      <w:proofErr w:type="gramStart"/>
      <w:r w:rsidR="00630413" w:rsidRPr="00210160">
        <w:rPr>
          <w:noProof w:val="0"/>
          <w:lang w:val="en-US"/>
        </w:rPr>
        <w:t xml:space="preserve">large </w:t>
      </w:r>
      <w:r w:rsidRPr="00210160">
        <w:rPr>
          <w:noProof w:val="0"/>
          <w:lang w:val="en-US"/>
        </w:rPr>
        <w:t>cleared</w:t>
      </w:r>
      <w:proofErr w:type="gramEnd"/>
      <w:r w:rsidRPr="00210160">
        <w:rPr>
          <w:noProof w:val="0"/>
          <w:lang w:val="en-US"/>
        </w:rPr>
        <w:t xml:space="preserve"> portfolio</w:t>
      </w:r>
      <w:r w:rsidR="007C66F7" w:rsidRPr="00210160">
        <w:rPr>
          <w:noProof w:val="0"/>
          <w:lang w:val="en-US"/>
        </w:rPr>
        <w:t>s</w:t>
      </w:r>
      <w:r w:rsidRPr="00210160">
        <w:rPr>
          <w:noProof w:val="0"/>
          <w:lang w:val="en-US"/>
        </w:rPr>
        <w:t xml:space="preserve"> in certain contracts compared to the overall market is covered both in the respective Initial Margin models and the </w:t>
      </w:r>
      <w:proofErr w:type="spellStart"/>
      <w:r w:rsidRPr="00210160">
        <w:rPr>
          <w:noProof w:val="0"/>
          <w:lang w:val="en-US"/>
        </w:rPr>
        <w:t>CCaR</w:t>
      </w:r>
      <w:proofErr w:type="spellEnd"/>
      <w:r w:rsidRPr="00210160">
        <w:rPr>
          <w:noProof w:val="0"/>
          <w:lang w:val="en-US"/>
        </w:rPr>
        <w:t xml:space="preserve"> model through add-ons</w:t>
      </w:r>
    </w:p>
    <w:p w14:paraId="14BAD6DB" w14:textId="32096168" w:rsidR="00F070EB" w:rsidRPr="00210160" w:rsidRDefault="00F070EB" w:rsidP="00AE30B6">
      <w:pPr>
        <w:pStyle w:val="BodyText"/>
        <w:rPr>
          <w:b/>
          <w:lang w:val="en-US"/>
        </w:rPr>
      </w:pPr>
    </w:p>
    <w:p w14:paraId="09B779EA" w14:textId="349C35B0" w:rsidR="00630413" w:rsidRPr="00210160" w:rsidRDefault="00630413" w:rsidP="00630413">
      <w:pPr>
        <w:pStyle w:val="Heading2"/>
        <w:rPr>
          <w:rFonts w:cs="Calibri"/>
        </w:rPr>
      </w:pPr>
      <w:bookmarkStart w:id="31" w:name="_Toc174351997"/>
      <w:bookmarkStart w:id="32" w:name="_Toc174352046"/>
      <w:bookmarkStart w:id="33" w:name="_Toc174352075"/>
      <w:bookmarkStart w:id="34" w:name="_Toc174352076"/>
      <w:bookmarkStart w:id="35" w:name="_Toc174352077"/>
      <w:bookmarkStart w:id="36" w:name="_Toc174352078"/>
      <w:bookmarkStart w:id="37" w:name="_Toc174352091"/>
      <w:bookmarkStart w:id="38" w:name="_Toc174352100"/>
      <w:bookmarkStart w:id="39" w:name="_Toc174352101"/>
      <w:bookmarkStart w:id="40" w:name="_Toc174352102"/>
      <w:bookmarkStart w:id="41" w:name="_Toc174352262"/>
      <w:bookmarkStart w:id="42" w:name="_Toc174352263"/>
      <w:bookmarkStart w:id="43" w:name="_Toc174352264"/>
      <w:bookmarkStart w:id="44" w:name="_Toc174352265"/>
      <w:bookmarkStart w:id="45" w:name="_Toc174352266"/>
      <w:bookmarkStart w:id="46" w:name="_Toc174352267"/>
      <w:bookmarkStart w:id="47" w:name="_Toc174352268"/>
      <w:bookmarkStart w:id="48" w:name="_Toc174352269"/>
      <w:bookmarkStart w:id="49" w:name="_Toc174352288"/>
      <w:bookmarkStart w:id="50" w:name="_Toc174352289"/>
      <w:bookmarkStart w:id="51" w:name="_Toc174352290"/>
      <w:bookmarkStart w:id="52" w:name="_Toc174352291"/>
      <w:bookmarkStart w:id="53" w:name="_Toc174352292"/>
      <w:bookmarkStart w:id="54" w:name="_Toc174352293"/>
      <w:bookmarkStart w:id="55" w:name="_Toc174352294"/>
      <w:bookmarkStart w:id="56" w:name="_Toc174352295"/>
      <w:bookmarkStart w:id="57" w:name="_Toc37787041"/>
      <w:bookmarkStart w:id="58" w:name="_Toc23303238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10160">
        <w:rPr>
          <w:rFonts w:cs="Calibri"/>
        </w:rPr>
        <w:t>Risk factors covered in the model</w:t>
      </w:r>
      <w:bookmarkEnd w:id="57"/>
      <w:bookmarkEnd w:id="58"/>
    </w:p>
    <w:p w14:paraId="5ECCB2E3" w14:textId="409EFE7C" w:rsidR="00630413" w:rsidRPr="00210160" w:rsidRDefault="00251ED9" w:rsidP="00910E0C">
      <w:pPr>
        <w:pStyle w:val="BodyText"/>
        <w:rPr>
          <w:noProof w:val="0"/>
        </w:rPr>
      </w:pPr>
      <w:r w:rsidRPr="00210160">
        <w:rPr>
          <w:noProof w:val="0"/>
        </w:rPr>
        <w:t xml:space="preserve">Risk factor selection in the </w:t>
      </w:r>
      <w:proofErr w:type="spellStart"/>
      <w:r w:rsidRPr="00210160">
        <w:rPr>
          <w:noProof w:val="0"/>
        </w:rPr>
        <w:t>CCaR</w:t>
      </w:r>
      <w:proofErr w:type="spellEnd"/>
      <w:r w:rsidRPr="00210160">
        <w:rPr>
          <w:noProof w:val="0"/>
        </w:rPr>
        <w:t xml:space="preserve"> model is the same as for Nasdaq Clearing’s Initial Margin models, and a brief </w:t>
      </w:r>
      <w:r w:rsidR="00A66A91" w:rsidRPr="00210160">
        <w:rPr>
          <w:noProof w:val="0"/>
        </w:rPr>
        <w:t>overview</w:t>
      </w:r>
      <w:r w:rsidRPr="00210160">
        <w:rPr>
          <w:noProof w:val="0"/>
        </w:rPr>
        <w:t xml:space="preserve"> is provided in this section. Notably, although the risk factors are the same, stresses </w:t>
      </w:r>
      <w:r w:rsidR="001E618F" w:rsidRPr="00210160">
        <w:rPr>
          <w:noProof w:val="0"/>
        </w:rPr>
        <w:t>applied,</w:t>
      </w:r>
      <w:r w:rsidRPr="00210160">
        <w:rPr>
          <w:noProof w:val="0"/>
        </w:rPr>
        <w:t xml:space="preserve"> and methodologies may vary between IM and </w:t>
      </w:r>
      <w:proofErr w:type="spellStart"/>
      <w:r w:rsidRPr="00210160">
        <w:rPr>
          <w:noProof w:val="0"/>
        </w:rPr>
        <w:t>CCaR</w:t>
      </w:r>
      <w:proofErr w:type="spellEnd"/>
      <w:r w:rsidRPr="00210160">
        <w:rPr>
          <w:noProof w:val="0"/>
        </w:rPr>
        <w:t xml:space="preserve"> models.</w:t>
      </w:r>
    </w:p>
    <w:p w14:paraId="0FFB8D6B" w14:textId="667FCAC4" w:rsidR="00251ED9" w:rsidRPr="00210160" w:rsidRDefault="00251ED9" w:rsidP="00910E0C">
      <w:pPr>
        <w:pStyle w:val="BodyText"/>
        <w:rPr>
          <w:noProof w:val="0"/>
        </w:rPr>
      </w:pPr>
      <w:r w:rsidRPr="00210160">
        <w:rPr>
          <w:noProof w:val="0"/>
        </w:rPr>
        <w:t xml:space="preserve">Below table outlines the risk factors covered in </w:t>
      </w:r>
      <w:proofErr w:type="spellStart"/>
      <w:r w:rsidRPr="00210160">
        <w:rPr>
          <w:noProof w:val="0"/>
        </w:rPr>
        <w:t>CCaR</w:t>
      </w:r>
      <w:proofErr w:type="spellEnd"/>
      <w:r w:rsidRPr="00210160">
        <w:rPr>
          <w:noProof w:val="0"/>
        </w:rPr>
        <w:t>:</w:t>
      </w:r>
    </w:p>
    <w:p w14:paraId="6EE76B9F" w14:textId="1CD21E20" w:rsidR="001E618F" w:rsidRPr="00210160" w:rsidRDefault="001E618F" w:rsidP="00C34C06">
      <w:pPr>
        <w:pStyle w:val="Caption"/>
        <w:rPr>
          <w:lang w:val="en-US"/>
        </w:rPr>
      </w:pPr>
      <w:r w:rsidRPr="00210160">
        <w:rPr>
          <w:lang w:val="en-US"/>
        </w:rPr>
        <w:t xml:space="preserve">Table </w:t>
      </w:r>
      <w:r w:rsidRPr="00210160">
        <w:rPr>
          <w:lang w:val="en-US"/>
        </w:rPr>
        <w:fldChar w:fldCharType="begin"/>
      </w:r>
      <w:r w:rsidRPr="00210160">
        <w:rPr>
          <w:lang w:val="en-US"/>
        </w:rPr>
        <w:instrText xml:space="preserve"> SEQ Table \* ARABIC </w:instrText>
      </w:r>
      <w:r w:rsidRPr="00210160">
        <w:rPr>
          <w:lang w:val="en-US"/>
        </w:rPr>
        <w:fldChar w:fldCharType="separate"/>
      </w:r>
      <w:r w:rsidR="009A4B3A">
        <w:rPr>
          <w:noProof/>
          <w:lang w:val="en-US"/>
        </w:rPr>
        <w:t>1</w:t>
      </w:r>
      <w:r w:rsidRPr="00210160">
        <w:rPr>
          <w:lang w:val="en-US"/>
        </w:rPr>
        <w:fldChar w:fldCharType="end"/>
      </w:r>
      <w:r w:rsidR="00EF48B4" w:rsidRPr="00210160">
        <w:rPr>
          <w:lang w:val="en-US"/>
        </w:rPr>
        <w:t xml:space="preserve">: </w:t>
      </w:r>
      <w:r w:rsidRPr="00210160">
        <w:rPr>
          <w:lang w:val="en-US"/>
        </w:rPr>
        <w:t xml:space="preserve">Overview of Risk Factors covered in the </w:t>
      </w:r>
      <w:proofErr w:type="spellStart"/>
      <w:r w:rsidRPr="00210160">
        <w:rPr>
          <w:lang w:val="en-US"/>
        </w:rPr>
        <w:t>CCaR</w:t>
      </w:r>
      <w:proofErr w:type="spellEnd"/>
      <w:r w:rsidRPr="00210160">
        <w:rPr>
          <w:lang w:val="en-US"/>
        </w:rPr>
        <w:t xml:space="preserve"> model</w:t>
      </w:r>
    </w:p>
    <w:tbl>
      <w:tblPr>
        <w:tblStyle w:val="TableGrid"/>
        <w:tblW w:w="5000" w:type="pct"/>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3008"/>
        <w:gridCol w:w="2380"/>
        <w:gridCol w:w="3638"/>
      </w:tblGrid>
      <w:tr w:rsidR="00251ED9" w:rsidRPr="00210160" w14:paraId="5E1B65FF" w14:textId="77777777" w:rsidTr="00CD5DE4">
        <w:tc>
          <w:tcPr>
            <w:tcW w:w="3008" w:type="dxa"/>
            <w:shd w:val="clear" w:color="auto" w:fill="009EC2" w:themeFill="text2"/>
          </w:tcPr>
          <w:p w14:paraId="296982C4" w14:textId="3CCC0401" w:rsidR="00251ED9" w:rsidRPr="00210160" w:rsidRDefault="00251ED9" w:rsidP="003B1EE3">
            <w:pPr>
              <w:pStyle w:val="TableHeadingText"/>
              <w:spacing w:before="0" w:after="0"/>
            </w:pPr>
            <w:r w:rsidRPr="00210160">
              <w:t>Asset class(es)</w:t>
            </w:r>
          </w:p>
        </w:tc>
        <w:tc>
          <w:tcPr>
            <w:tcW w:w="2380" w:type="dxa"/>
            <w:shd w:val="clear" w:color="auto" w:fill="009EC2" w:themeFill="text2"/>
          </w:tcPr>
          <w:p w14:paraId="4FCA58AB" w14:textId="028D966A" w:rsidR="00251ED9" w:rsidRPr="00210160" w:rsidRDefault="00251ED9" w:rsidP="003B1EE3">
            <w:pPr>
              <w:pStyle w:val="TableHeadingText"/>
              <w:spacing w:before="0" w:after="0"/>
            </w:pPr>
            <w:r w:rsidRPr="00210160">
              <w:t>Risk factor</w:t>
            </w:r>
          </w:p>
        </w:tc>
        <w:tc>
          <w:tcPr>
            <w:tcW w:w="3638" w:type="dxa"/>
            <w:shd w:val="clear" w:color="auto" w:fill="009EC2" w:themeFill="text2"/>
          </w:tcPr>
          <w:p w14:paraId="20B86C31" w14:textId="4B09F1F6" w:rsidR="00251ED9" w:rsidRPr="00210160" w:rsidRDefault="00251ED9" w:rsidP="003B1EE3">
            <w:pPr>
              <w:pStyle w:val="TableHeadingText"/>
              <w:spacing w:before="0" w:after="0"/>
            </w:pPr>
            <w:r w:rsidRPr="00210160">
              <w:t>Coverage</w:t>
            </w:r>
          </w:p>
        </w:tc>
      </w:tr>
      <w:tr w:rsidR="00251ED9" w:rsidRPr="00210160" w14:paraId="403FFDF4" w14:textId="77777777" w:rsidTr="00CD5DE4">
        <w:tc>
          <w:tcPr>
            <w:tcW w:w="3008" w:type="dxa"/>
          </w:tcPr>
          <w:p w14:paraId="5C24CB71" w14:textId="312B53D4" w:rsidR="00251ED9" w:rsidRPr="00210160" w:rsidRDefault="00251ED9" w:rsidP="003B1EE3">
            <w:pPr>
              <w:pStyle w:val="TableText"/>
              <w:spacing w:before="0" w:after="0"/>
            </w:pPr>
            <w:r w:rsidRPr="00210160">
              <w:t>Equities</w:t>
            </w:r>
          </w:p>
        </w:tc>
        <w:tc>
          <w:tcPr>
            <w:tcW w:w="2380" w:type="dxa"/>
          </w:tcPr>
          <w:p w14:paraId="0A9D85CC" w14:textId="385F8724" w:rsidR="00251ED9" w:rsidRPr="00210160" w:rsidRDefault="00251ED9" w:rsidP="003B1EE3">
            <w:pPr>
              <w:pStyle w:val="TableText"/>
              <w:spacing w:before="0" w:after="0"/>
            </w:pPr>
            <w:r w:rsidRPr="00210160">
              <w:t>Price risk</w:t>
            </w:r>
          </w:p>
        </w:tc>
        <w:tc>
          <w:tcPr>
            <w:tcW w:w="3638" w:type="dxa"/>
          </w:tcPr>
          <w:p w14:paraId="58228B1F" w14:textId="0CAE1B77" w:rsidR="00251ED9" w:rsidRPr="00210160" w:rsidRDefault="00251ED9" w:rsidP="003B1EE3">
            <w:pPr>
              <w:pStyle w:val="TableText"/>
              <w:spacing w:before="0" w:after="0"/>
            </w:pPr>
            <w:proofErr w:type="spellStart"/>
            <w:r w:rsidRPr="00210160">
              <w:t>CCaR</w:t>
            </w:r>
            <w:proofErr w:type="spellEnd"/>
            <w:r w:rsidRPr="00210160">
              <w:t xml:space="preserve"> parameter estimation</w:t>
            </w:r>
          </w:p>
        </w:tc>
      </w:tr>
      <w:tr w:rsidR="00251ED9" w:rsidRPr="00210160" w14:paraId="06D06910" w14:textId="77777777" w:rsidTr="00CD5DE4">
        <w:tc>
          <w:tcPr>
            <w:tcW w:w="3008" w:type="dxa"/>
          </w:tcPr>
          <w:p w14:paraId="71FE3D60" w14:textId="3002C583" w:rsidR="00251ED9" w:rsidRPr="00210160" w:rsidRDefault="00251ED9" w:rsidP="003B1EE3">
            <w:pPr>
              <w:pStyle w:val="TableText"/>
              <w:spacing w:before="0" w:after="0"/>
            </w:pPr>
            <w:r w:rsidRPr="00210160">
              <w:t>All</w:t>
            </w:r>
          </w:p>
        </w:tc>
        <w:tc>
          <w:tcPr>
            <w:tcW w:w="2380" w:type="dxa"/>
          </w:tcPr>
          <w:p w14:paraId="41856D82" w14:textId="57090677" w:rsidR="00251ED9" w:rsidRPr="00210160" w:rsidRDefault="00251ED9" w:rsidP="003B1EE3">
            <w:pPr>
              <w:pStyle w:val="TableText"/>
              <w:spacing w:before="0" w:after="0"/>
            </w:pPr>
            <w:r w:rsidRPr="00210160">
              <w:t>Implied volatility risk</w:t>
            </w:r>
          </w:p>
        </w:tc>
        <w:tc>
          <w:tcPr>
            <w:tcW w:w="3638" w:type="dxa"/>
          </w:tcPr>
          <w:p w14:paraId="36C6E1C7" w14:textId="33D6F1D7" w:rsidR="00251ED9" w:rsidRPr="00210160" w:rsidRDefault="00251ED9" w:rsidP="003B1EE3">
            <w:pPr>
              <w:pStyle w:val="TableText"/>
              <w:spacing w:before="0" w:after="0"/>
            </w:pPr>
            <w:r w:rsidRPr="00210160">
              <w:t>IV-stress shocks</w:t>
            </w:r>
          </w:p>
        </w:tc>
      </w:tr>
      <w:tr w:rsidR="00251ED9" w:rsidRPr="00210160" w14:paraId="6965FA16" w14:textId="77777777" w:rsidTr="00CD5DE4">
        <w:tc>
          <w:tcPr>
            <w:tcW w:w="3008" w:type="dxa"/>
          </w:tcPr>
          <w:p w14:paraId="045B2F28" w14:textId="5D4DC25D" w:rsidR="00251ED9" w:rsidRPr="00210160" w:rsidRDefault="00251ED9" w:rsidP="003B1EE3">
            <w:pPr>
              <w:pStyle w:val="TableText"/>
              <w:spacing w:before="0" w:after="0"/>
            </w:pPr>
            <w:r w:rsidRPr="00210160">
              <w:t>All</w:t>
            </w:r>
          </w:p>
        </w:tc>
        <w:tc>
          <w:tcPr>
            <w:tcW w:w="2380" w:type="dxa"/>
          </w:tcPr>
          <w:p w14:paraId="392CC8AE" w14:textId="70DC1384" w:rsidR="00251ED9" w:rsidRPr="00210160" w:rsidRDefault="00251ED9" w:rsidP="003B1EE3">
            <w:pPr>
              <w:pStyle w:val="TableText"/>
              <w:spacing w:before="0" w:after="0"/>
            </w:pPr>
            <w:r w:rsidRPr="00210160">
              <w:t>FX risk</w:t>
            </w:r>
          </w:p>
        </w:tc>
        <w:tc>
          <w:tcPr>
            <w:tcW w:w="3638" w:type="dxa"/>
          </w:tcPr>
          <w:p w14:paraId="061B8911" w14:textId="0F17090E" w:rsidR="00251ED9" w:rsidRPr="00210160" w:rsidRDefault="00251ED9" w:rsidP="003B1EE3">
            <w:pPr>
              <w:pStyle w:val="TableText"/>
              <w:spacing w:before="0" w:after="0"/>
            </w:pPr>
            <w:r w:rsidRPr="00210160">
              <w:t>FX-stress shocks</w:t>
            </w:r>
          </w:p>
        </w:tc>
      </w:tr>
      <w:tr w:rsidR="00251ED9" w:rsidRPr="00210160" w14:paraId="2246AD03" w14:textId="77777777" w:rsidTr="00CD5DE4">
        <w:tc>
          <w:tcPr>
            <w:tcW w:w="3008" w:type="dxa"/>
          </w:tcPr>
          <w:p w14:paraId="0837FE94" w14:textId="2787C605" w:rsidR="00251ED9" w:rsidRPr="00210160" w:rsidRDefault="00251ED9" w:rsidP="003B1EE3">
            <w:pPr>
              <w:pStyle w:val="TableText"/>
              <w:spacing w:before="0" w:after="0"/>
            </w:pPr>
            <w:r w:rsidRPr="00210160">
              <w:t>All</w:t>
            </w:r>
          </w:p>
        </w:tc>
        <w:tc>
          <w:tcPr>
            <w:tcW w:w="2380" w:type="dxa"/>
          </w:tcPr>
          <w:p w14:paraId="672E2C69" w14:textId="5126AD48" w:rsidR="00251ED9" w:rsidRPr="00210160" w:rsidRDefault="00251ED9" w:rsidP="003B1EE3">
            <w:pPr>
              <w:pStyle w:val="TableText"/>
              <w:spacing w:before="0" w:after="0"/>
            </w:pPr>
            <w:r w:rsidRPr="00210160">
              <w:t>Market liquidity risk</w:t>
            </w:r>
            <w:r w:rsidR="001E618F" w:rsidRPr="00210160">
              <w:t>/ concentration risk</w:t>
            </w:r>
          </w:p>
        </w:tc>
        <w:tc>
          <w:tcPr>
            <w:tcW w:w="3638" w:type="dxa"/>
          </w:tcPr>
          <w:p w14:paraId="5104E677" w14:textId="77777777" w:rsidR="00251ED9" w:rsidRPr="00210160" w:rsidRDefault="00251ED9" w:rsidP="003B1EE3">
            <w:pPr>
              <w:pStyle w:val="TableText"/>
              <w:spacing w:before="0" w:after="0"/>
            </w:pPr>
            <w:r w:rsidRPr="00210160">
              <w:t>Base liquidation adjustment</w:t>
            </w:r>
          </w:p>
          <w:p w14:paraId="716A9E45" w14:textId="67E4272B" w:rsidR="00251ED9" w:rsidRPr="00210160" w:rsidRDefault="00251ED9" w:rsidP="003B1EE3">
            <w:pPr>
              <w:pStyle w:val="TableText"/>
              <w:spacing w:before="0" w:after="0"/>
            </w:pPr>
            <w:r w:rsidRPr="00210160">
              <w:t>Knock-on adj. concentration add-on</w:t>
            </w:r>
          </w:p>
        </w:tc>
      </w:tr>
      <w:tr w:rsidR="00251ED9" w:rsidRPr="00210160" w14:paraId="3D9DA85D" w14:textId="77777777" w:rsidTr="00CD5DE4">
        <w:tc>
          <w:tcPr>
            <w:tcW w:w="3008" w:type="dxa"/>
          </w:tcPr>
          <w:p w14:paraId="0C680DF5" w14:textId="27D04C83" w:rsidR="00251ED9" w:rsidRPr="00210160" w:rsidRDefault="00251ED9" w:rsidP="003B1EE3">
            <w:pPr>
              <w:pStyle w:val="TableText"/>
              <w:spacing w:before="0" w:after="0"/>
            </w:pPr>
            <w:r w:rsidRPr="00210160">
              <w:t>Fixed income</w:t>
            </w:r>
          </w:p>
        </w:tc>
        <w:tc>
          <w:tcPr>
            <w:tcW w:w="2380" w:type="dxa"/>
          </w:tcPr>
          <w:p w14:paraId="0EEC1685" w14:textId="7D3D39FA" w:rsidR="00251ED9" w:rsidRPr="00210160" w:rsidRDefault="00251ED9" w:rsidP="003B1EE3">
            <w:pPr>
              <w:pStyle w:val="TableText"/>
              <w:spacing w:before="0" w:after="0"/>
            </w:pPr>
            <w:r w:rsidRPr="00210160">
              <w:t>Interest rate risk</w:t>
            </w:r>
          </w:p>
        </w:tc>
        <w:tc>
          <w:tcPr>
            <w:tcW w:w="3638" w:type="dxa"/>
          </w:tcPr>
          <w:p w14:paraId="1228ADBB" w14:textId="50303125" w:rsidR="00251ED9" w:rsidRPr="00210160" w:rsidRDefault="00251ED9" w:rsidP="003B1EE3">
            <w:pPr>
              <w:pStyle w:val="TableText"/>
              <w:spacing w:before="0" w:after="0"/>
            </w:pPr>
            <w:proofErr w:type="spellStart"/>
            <w:r w:rsidRPr="00210160">
              <w:t>CCaR</w:t>
            </w:r>
            <w:proofErr w:type="spellEnd"/>
            <w:r w:rsidRPr="00210160">
              <w:t xml:space="preserve"> parameter estimation</w:t>
            </w:r>
          </w:p>
        </w:tc>
      </w:tr>
      <w:tr w:rsidR="00F22B90" w:rsidRPr="00210160" w14:paraId="2E2396F6" w14:textId="77777777" w:rsidTr="00CD5DE4">
        <w:tc>
          <w:tcPr>
            <w:tcW w:w="3008" w:type="dxa"/>
          </w:tcPr>
          <w:p w14:paraId="158B6DD4" w14:textId="21DBCCDD" w:rsidR="00F22B90" w:rsidRPr="00210160" w:rsidRDefault="00F22B90" w:rsidP="003B1EE3">
            <w:pPr>
              <w:pStyle w:val="TableText"/>
              <w:spacing w:before="0" w:after="0"/>
            </w:pPr>
            <w:r w:rsidRPr="00210160">
              <w:t>Fixed income</w:t>
            </w:r>
          </w:p>
        </w:tc>
        <w:tc>
          <w:tcPr>
            <w:tcW w:w="2380" w:type="dxa"/>
          </w:tcPr>
          <w:p w14:paraId="21010EA5" w14:textId="08F5470D" w:rsidR="00F22B90" w:rsidRPr="00210160" w:rsidRDefault="00F22B90" w:rsidP="003B1EE3">
            <w:pPr>
              <w:pStyle w:val="TableText"/>
              <w:spacing w:before="0" w:after="0"/>
            </w:pPr>
            <w:r w:rsidRPr="00210160">
              <w:t>Duration risk</w:t>
            </w:r>
          </w:p>
        </w:tc>
        <w:tc>
          <w:tcPr>
            <w:tcW w:w="3638" w:type="dxa"/>
          </w:tcPr>
          <w:p w14:paraId="409BA55C" w14:textId="67902C37" w:rsidR="00F22B90" w:rsidRPr="00210160" w:rsidRDefault="00F22B90" w:rsidP="003B1EE3">
            <w:pPr>
              <w:pStyle w:val="TableText"/>
              <w:spacing w:before="0" w:after="0"/>
            </w:pPr>
            <w:r w:rsidRPr="00210160">
              <w:t>Principal component framework</w:t>
            </w:r>
          </w:p>
        </w:tc>
      </w:tr>
      <w:tr w:rsidR="00251ED9" w:rsidRPr="00210160" w14:paraId="43979489" w14:textId="77777777" w:rsidTr="00CD5DE4">
        <w:tc>
          <w:tcPr>
            <w:tcW w:w="3008" w:type="dxa"/>
          </w:tcPr>
          <w:p w14:paraId="6450D1EC" w14:textId="4F63FC55" w:rsidR="00251ED9" w:rsidRPr="00210160" w:rsidRDefault="00251ED9" w:rsidP="003B1EE3">
            <w:pPr>
              <w:pStyle w:val="TableText"/>
              <w:spacing w:before="0" w:after="0"/>
            </w:pPr>
            <w:r w:rsidRPr="00210160">
              <w:t>Fixed income</w:t>
            </w:r>
          </w:p>
        </w:tc>
        <w:tc>
          <w:tcPr>
            <w:tcW w:w="2380" w:type="dxa"/>
          </w:tcPr>
          <w:p w14:paraId="0B923848" w14:textId="7796C4A7" w:rsidR="00251ED9" w:rsidRPr="00210160" w:rsidRDefault="00251ED9" w:rsidP="003B1EE3">
            <w:pPr>
              <w:pStyle w:val="TableText"/>
              <w:spacing w:before="0" w:after="0"/>
            </w:pPr>
            <w:r w:rsidRPr="00210160">
              <w:t>Bond price risk</w:t>
            </w:r>
          </w:p>
        </w:tc>
        <w:tc>
          <w:tcPr>
            <w:tcW w:w="3638" w:type="dxa"/>
          </w:tcPr>
          <w:p w14:paraId="0385EB11" w14:textId="0B173BFA" w:rsidR="00251ED9" w:rsidRPr="00210160" w:rsidRDefault="00251ED9" w:rsidP="003B1EE3">
            <w:pPr>
              <w:pStyle w:val="TableText"/>
              <w:spacing w:before="0" w:after="0"/>
            </w:pPr>
            <w:proofErr w:type="spellStart"/>
            <w:r w:rsidRPr="00210160">
              <w:t>CCaR</w:t>
            </w:r>
            <w:proofErr w:type="spellEnd"/>
            <w:r w:rsidRPr="00210160">
              <w:t xml:space="preserve"> parameter estimation (for niche instruments without curve modelling)</w:t>
            </w:r>
          </w:p>
        </w:tc>
      </w:tr>
      <w:tr w:rsidR="009D2060" w:rsidRPr="00210160" w14:paraId="69103671" w14:textId="77777777" w:rsidTr="00CD5DE4">
        <w:tc>
          <w:tcPr>
            <w:tcW w:w="3008" w:type="dxa"/>
          </w:tcPr>
          <w:p w14:paraId="1FD1C995" w14:textId="6B47715D" w:rsidR="009D2060" w:rsidRPr="00210160" w:rsidRDefault="009D2060" w:rsidP="003B1EE3">
            <w:pPr>
              <w:pStyle w:val="TableText"/>
              <w:spacing w:before="0" w:after="0"/>
            </w:pPr>
            <w:r w:rsidRPr="00210160">
              <w:t>All</w:t>
            </w:r>
          </w:p>
        </w:tc>
        <w:tc>
          <w:tcPr>
            <w:tcW w:w="2380" w:type="dxa"/>
          </w:tcPr>
          <w:p w14:paraId="4E2F234F" w14:textId="6AAE1951" w:rsidR="009D2060" w:rsidRPr="00210160" w:rsidRDefault="009D2060" w:rsidP="003B1EE3">
            <w:pPr>
              <w:pStyle w:val="TableText"/>
              <w:spacing w:before="0" w:after="0"/>
            </w:pPr>
            <w:r w:rsidRPr="00210160">
              <w:t>Jump-to-default risk</w:t>
            </w:r>
          </w:p>
        </w:tc>
        <w:tc>
          <w:tcPr>
            <w:tcW w:w="3638" w:type="dxa"/>
          </w:tcPr>
          <w:p w14:paraId="016A60CD" w14:textId="34CFCDB9" w:rsidR="009D2060" w:rsidRPr="00210160" w:rsidRDefault="009D2060" w:rsidP="003B1EE3">
            <w:pPr>
              <w:pStyle w:val="TableText"/>
              <w:spacing w:before="0" w:after="0"/>
            </w:pPr>
            <w:r w:rsidRPr="00210160">
              <w:t>Monitoring</w:t>
            </w:r>
          </w:p>
        </w:tc>
      </w:tr>
    </w:tbl>
    <w:p w14:paraId="54753EC7" w14:textId="59A00474" w:rsidR="0036229D" w:rsidRPr="00210160" w:rsidRDefault="00777669" w:rsidP="0036229D">
      <w:pPr>
        <w:pStyle w:val="Heading1"/>
      </w:pPr>
      <w:bookmarkStart w:id="59" w:name="_Toc3904167"/>
      <w:bookmarkStart w:id="60" w:name="_Toc3821918"/>
      <w:bookmarkStart w:id="61" w:name="_Toc3822086"/>
      <w:bookmarkStart w:id="62" w:name="_Toc3822322"/>
      <w:bookmarkStart w:id="63" w:name="_Toc3822419"/>
      <w:bookmarkStart w:id="64" w:name="_Toc3904168"/>
      <w:bookmarkStart w:id="65" w:name="_Toc3821919"/>
      <w:bookmarkStart w:id="66" w:name="_Toc3822087"/>
      <w:bookmarkStart w:id="67" w:name="_Toc3822323"/>
      <w:bookmarkStart w:id="68" w:name="_Toc3822420"/>
      <w:bookmarkStart w:id="69" w:name="_Toc3904169"/>
      <w:bookmarkStart w:id="70" w:name="_Toc3821920"/>
      <w:bookmarkStart w:id="71" w:name="_Toc3822088"/>
      <w:bookmarkStart w:id="72" w:name="_Toc3822324"/>
      <w:bookmarkStart w:id="73" w:name="_Toc3822421"/>
      <w:bookmarkStart w:id="74" w:name="_Toc3904170"/>
      <w:bookmarkStart w:id="75" w:name="_Toc3821921"/>
      <w:bookmarkStart w:id="76" w:name="_Toc3822089"/>
      <w:bookmarkStart w:id="77" w:name="_Toc3822325"/>
      <w:bookmarkStart w:id="78" w:name="_Toc3822422"/>
      <w:bookmarkStart w:id="79" w:name="_Toc3904171"/>
      <w:bookmarkStart w:id="80" w:name="_Toc3821922"/>
      <w:bookmarkStart w:id="81" w:name="_Toc3822090"/>
      <w:bookmarkStart w:id="82" w:name="_Toc3822326"/>
      <w:bookmarkStart w:id="83" w:name="_Toc3822423"/>
      <w:bookmarkStart w:id="84" w:name="_Toc3904172"/>
      <w:bookmarkStart w:id="85" w:name="_Toc23303238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10160">
        <w:lastRenderedPageBreak/>
        <w:t>M</w:t>
      </w:r>
      <w:r w:rsidR="00E44A36" w:rsidRPr="00210160">
        <w:t>odel</w:t>
      </w:r>
      <w:r w:rsidRPr="00210160">
        <w:t xml:space="preserve"> </w:t>
      </w:r>
      <w:r w:rsidR="00E51A7E" w:rsidRPr="00210160">
        <w:t>input</w:t>
      </w:r>
      <w:bookmarkEnd w:id="85"/>
    </w:p>
    <w:p w14:paraId="6AD7CA34" w14:textId="114B104C" w:rsidR="00D155D0" w:rsidRPr="00210160" w:rsidRDefault="004A41DB" w:rsidP="006055E0">
      <w:pPr>
        <w:pStyle w:val="BodyText"/>
        <w:rPr>
          <w:noProof w:val="0"/>
        </w:rPr>
      </w:pPr>
      <w:r w:rsidRPr="00210160">
        <w:rPr>
          <w:noProof w:val="0"/>
        </w:rPr>
        <w:t xml:space="preserve">The key model input </w:t>
      </w:r>
      <w:r w:rsidR="00610366" w:rsidRPr="00210160">
        <w:rPr>
          <w:noProof w:val="0"/>
        </w:rPr>
        <w:t xml:space="preserve">for calculation of the </w:t>
      </w:r>
      <w:proofErr w:type="spellStart"/>
      <w:r w:rsidR="00610366" w:rsidRPr="00210160">
        <w:rPr>
          <w:noProof w:val="0"/>
        </w:rPr>
        <w:t>CCaR</w:t>
      </w:r>
      <w:proofErr w:type="spellEnd"/>
      <w:r w:rsidR="00610366" w:rsidRPr="00210160">
        <w:rPr>
          <w:noProof w:val="0"/>
        </w:rPr>
        <w:t xml:space="preserve"> </w:t>
      </w:r>
      <w:r w:rsidRPr="00210160">
        <w:rPr>
          <w:noProof w:val="0"/>
        </w:rPr>
        <w:t xml:space="preserve">for the model is </w:t>
      </w:r>
      <w:r w:rsidR="007A5C3E" w:rsidRPr="00210160">
        <w:rPr>
          <w:noProof w:val="0"/>
        </w:rPr>
        <w:t xml:space="preserve">clearing member </w:t>
      </w:r>
      <w:r w:rsidRPr="00210160">
        <w:rPr>
          <w:noProof w:val="0"/>
        </w:rPr>
        <w:t>pos</w:t>
      </w:r>
      <w:r w:rsidR="007A5C3E" w:rsidRPr="00210160">
        <w:rPr>
          <w:noProof w:val="0"/>
        </w:rPr>
        <w:t>itions, market data to calibrate stress scenarios and calibrated model parameters. The clearing member positions are the same as used for IM, so not assessed separately here. This section covers market data,</w:t>
      </w:r>
      <w:r w:rsidRPr="00210160">
        <w:rPr>
          <w:noProof w:val="0"/>
        </w:rPr>
        <w:t xml:space="preserve"> </w:t>
      </w:r>
      <w:r w:rsidR="007A5C3E" w:rsidRPr="00210160">
        <w:rPr>
          <w:noProof w:val="0"/>
        </w:rPr>
        <w:t xml:space="preserve">and the following sections cover the calibrated model parameters. </w:t>
      </w:r>
    </w:p>
    <w:p w14:paraId="2F60CA16" w14:textId="07BCFF5E" w:rsidR="00781488" w:rsidRPr="00210160" w:rsidRDefault="00781488" w:rsidP="00781488">
      <w:pPr>
        <w:pStyle w:val="Heading2"/>
      </w:pPr>
      <w:bookmarkStart w:id="86" w:name="_Toc233032383"/>
      <w:r w:rsidRPr="00210160">
        <w:t>Hypothetical scenarios input data</w:t>
      </w:r>
      <w:bookmarkEnd w:id="86"/>
    </w:p>
    <w:p w14:paraId="789D5EC2" w14:textId="663BCC12" w:rsidR="007A5C3E" w:rsidRPr="00210160" w:rsidRDefault="007A5C3E" w:rsidP="006055E0">
      <w:pPr>
        <w:pStyle w:val="BodyText"/>
        <w:rPr>
          <w:noProof w:val="0"/>
        </w:rPr>
      </w:pPr>
      <w:r w:rsidRPr="00210160">
        <w:rPr>
          <w:noProof w:val="0"/>
        </w:rPr>
        <w:t xml:space="preserve">Hypothetical scenarios are </w:t>
      </w:r>
      <w:r w:rsidR="002C3489" w:rsidRPr="00210160">
        <w:rPr>
          <w:noProof w:val="0"/>
        </w:rPr>
        <w:t>derived using</w:t>
      </w:r>
      <w:r w:rsidRPr="00210160">
        <w:rPr>
          <w:noProof w:val="0"/>
        </w:rPr>
        <w:t xml:space="preserve"> </w:t>
      </w:r>
      <w:r w:rsidR="002C3489" w:rsidRPr="00210160">
        <w:rPr>
          <w:noProof w:val="0"/>
        </w:rPr>
        <w:t xml:space="preserve">combinations of </w:t>
      </w:r>
      <w:r w:rsidRPr="00210160">
        <w:rPr>
          <w:noProof w:val="0"/>
        </w:rPr>
        <w:t>historical stress based on</w:t>
      </w:r>
      <w:r w:rsidR="002C3489" w:rsidRPr="00210160">
        <w:rPr>
          <w:noProof w:val="0"/>
        </w:rPr>
        <w:t xml:space="preserve"> an extreme percentile of historical</w:t>
      </w:r>
      <w:r w:rsidRPr="00210160">
        <w:rPr>
          <w:noProof w:val="0"/>
        </w:rPr>
        <w:t xml:space="preserve"> market data. </w:t>
      </w:r>
    </w:p>
    <w:p w14:paraId="123EFBA8" w14:textId="4A87AEE6" w:rsidR="00E20F29" w:rsidRPr="00210160" w:rsidRDefault="00E20F29" w:rsidP="00E20F29">
      <w:pPr>
        <w:pStyle w:val="Heading2"/>
        <w:rPr>
          <w:rFonts w:cs="Calibri"/>
        </w:rPr>
      </w:pPr>
      <w:bookmarkStart w:id="87" w:name="_Toc174352299"/>
      <w:bookmarkStart w:id="88" w:name="_Toc174352300"/>
      <w:bookmarkStart w:id="89" w:name="_Toc174352301"/>
      <w:bookmarkStart w:id="90" w:name="_Toc174352302"/>
      <w:bookmarkStart w:id="91" w:name="_Toc174352333"/>
      <w:bookmarkStart w:id="92" w:name="_Toc174352334"/>
      <w:bookmarkStart w:id="93" w:name="_Toc174352335"/>
      <w:bookmarkStart w:id="94" w:name="_Toc174352336"/>
      <w:bookmarkStart w:id="95" w:name="_Toc174352337"/>
      <w:bookmarkStart w:id="96" w:name="_Toc174352338"/>
      <w:bookmarkStart w:id="97" w:name="_Toc174352339"/>
      <w:bookmarkStart w:id="98" w:name="_Toc174352340"/>
      <w:bookmarkStart w:id="99" w:name="_Toc174352341"/>
      <w:bookmarkStart w:id="100" w:name="_Toc174352393"/>
      <w:bookmarkStart w:id="101" w:name="_Toc174352394"/>
      <w:bookmarkStart w:id="102" w:name="_Toc174352395"/>
      <w:bookmarkStart w:id="103" w:name="_Toc174352396"/>
      <w:bookmarkStart w:id="104" w:name="_Toc174352397"/>
      <w:bookmarkStart w:id="105" w:name="_Toc174352398"/>
      <w:bookmarkStart w:id="106" w:name="_Toc174352399"/>
      <w:bookmarkStart w:id="107" w:name="_Toc174352400"/>
      <w:bookmarkStart w:id="108" w:name="_Toc174352401"/>
      <w:bookmarkStart w:id="109" w:name="_Toc174352402"/>
      <w:bookmarkStart w:id="110" w:name="_Toc174352403"/>
      <w:bookmarkStart w:id="111" w:name="_Toc174352404"/>
      <w:bookmarkStart w:id="112" w:name="_Toc174352405"/>
      <w:bookmarkStart w:id="113" w:name="_Toc174352406"/>
      <w:bookmarkStart w:id="114" w:name="_Toc174352407"/>
      <w:bookmarkStart w:id="115" w:name="_Toc174352408"/>
      <w:bookmarkStart w:id="116" w:name="_Toc174352409"/>
      <w:bookmarkStart w:id="117" w:name="_Toc174352410"/>
      <w:bookmarkStart w:id="118" w:name="_Toc174352411"/>
      <w:bookmarkStart w:id="119" w:name="_Toc174352412"/>
      <w:bookmarkStart w:id="120" w:name="_Toc174352426"/>
      <w:bookmarkStart w:id="121" w:name="_Toc174352427"/>
      <w:bookmarkStart w:id="122" w:name="_Toc174352428"/>
      <w:bookmarkStart w:id="123" w:name="_Toc174352429"/>
      <w:bookmarkStart w:id="124" w:name="_Toc174352430"/>
      <w:bookmarkStart w:id="125" w:name="_Toc174352431"/>
      <w:bookmarkStart w:id="126" w:name="_Toc174352432"/>
      <w:bookmarkStart w:id="127" w:name="_Toc174352433"/>
      <w:bookmarkStart w:id="128" w:name="_Toc174352434"/>
      <w:bookmarkStart w:id="129" w:name="_Toc174352435"/>
      <w:bookmarkStart w:id="130" w:name="_Toc174352436"/>
      <w:bookmarkStart w:id="131" w:name="_Toc174352437"/>
      <w:bookmarkStart w:id="132" w:name="_Toc174352438"/>
      <w:bookmarkStart w:id="133" w:name="_Toc174352439"/>
      <w:bookmarkStart w:id="134" w:name="_Toc174352440"/>
      <w:bookmarkStart w:id="135" w:name="_Toc174352441"/>
      <w:bookmarkStart w:id="136" w:name="_Toc174352442"/>
      <w:bookmarkStart w:id="137" w:name="_Toc174352443"/>
      <w:bookmarkStart w:id="138" w:name="_Toc174352444"/>
      <w:bookmarkStart w:id="139" w:name="_Toc174352445"/>
      <w:bookmarkStart w:id="140" w:name="_Toc174352446"/>
      <w:bookmarkStart w:id="141" w:name="_Toc174352460"/>
      <w:bookmarkStart w:id="142" w:name="_Toc174352461"/>
      <w:bookmarkStart w:id="143" w:name="_Toc23303238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10160">
        <w:rPr>
          <w:rFonts w:cs="Calibri"/>
        </w:rPr>
        <w:t>Historical scenarios input data</w:t>
      </w:r>
      <w:bookmarkEnd w:id="143"/>
    </w:p>
    <w:p w14:paraId="524D94A8" w14:textId="55FCB94A" w:rsidR="00F22B90" w:rsidRPr="00210160" w:rsidRDefault="00F22B90" w:rsidP="0079335B">
      <w:r w:rsidRPr="00210160">
        <w:t xml:space="preserve">The historical scenarios leverage the same input data as the </w:t>
      </w:r>
      <w:r w:rsidR="005D2359" w:rsidRPr="00210160">
        <w:t xml:space="preserve">hypothetical </w:t>
      </w:r>
      <w:r w:rsidR="00CD5DE4" w:rsidRPr="00210160">
        <w:t>scenarios;</w:t>
      </w:r>
      <w:r w:rsidR="005D2359" w:rsidRPr="00210160">
        <w:t xml:space="preserve"> </w:t>
      </w:r>
      <w:r w:rsidR="00A90C7F" w:rsidRPr="00210160">
        <w:t>however,</w:t>
      </w:r>
      <w:r w:rsidR="005D2359" w:rsidRPr="00210160">
        <w:t xml:space="preserve"> risk factor data is only used for the identified historical events and a short window of time surrounding these events. </w:t>
      </w:r>
    </w:p>
    <w:p w14:paraId="1ACC7318" w14:textId="3CA46AF5" w:rsidR="00E20F29" w:rsidRPr="00210160" w:rsidRDefault="00E20F29" w:rsidP="00A82E8D">
      <w:pPr>
        <w:pStyle w:val="Heading2"/>
      </w:pPr>
      <w:bookmarkStart w:id="144" w:name="_Toc233032385"/>
      <w:r w:rsidRPr="00210160">
        <w:t>Narrative scenarios input data</w:t>
      </w:r>
      <w:bookmarkEnd w:id="144"/>
    </w:p>
    <w:p w14:paraId="0AA7FFAA" w14:textId="404AC4BF" w:rsidR="005D2359" w:rsidRPr="00210160" w:rsidRDefault="005D2359" w:rsidP="00A82E8D">
      <w:pPr>
        <w:pStyle w:val="BodyText"/>
        <w:rPr>
          <w:noProof w:val="0"/>
        </w:rPr>
      </w:pPr>
      <w:r w:rsidRPr="00210160">
        <w:rPr>
          <w:noProof w:val="0"/>
        </w:rPr>
        <w:t xml:space="preserve">For narrative stress testing scenarios, the input data sources from previous scenario types are </w:t>
      </w:r>
      <w:proofErr w:type="gramStart"/>
      <w:r w:rsidRPr="00210160">
        <w:rPr>
          <w:noProof w:val="0"/>
        </w:rPr>
        <w:t>used, but</w:t>
      </w:r>
      <w:proofErr w:type="gramEnd"/>
      <w:r w:rsidRPr="00210160">
        <w:rPr>
          <w:noProof w:val="0"/>
        </w:rPr>
        <w:t xml:space="preserve"> often combined with further desk research. Due to the nature of narrative scenario design, data that may be used to quantify the narratives is:</w:t>
      </w:r>
    </w:p>
    <w:p w14:paraId="0F6A9A59" w14:textId="7826C39D" w:rsidR="005D2359" w:rsidRPr="00210160" w:rsidRDefault="005D2359" w:rsidP="00A82E8D">
      <w:pPr>
        <w:pStyle w:val="Bullets"/>
        <w:rPr>
          <w:noProof w:val="0"/>
          <w:lang w:val="en-US"/>
        </w:rPr>
      </w:pPr>
      <w:r w:rsidRPr="00210160">
        <w:rPr>
          <w:noProof w:val="0"/>
          <w:lang w:val="en-US"/>
        </w:rPr>
        <w:t>Risk factor data from other markets than those cleared by Nasdaq Clearing</w:t>
      </w:r>
    </w:p>
    <w:p w14:paraId="022B63F0" w14:textId="68D1B442" w:rsidR="005D2359" w:rsidRPr="00210160" w:rsidRDefault="005D2359" w:rsidP="00A82E8D">
      <w:pPr>
        <w:pStyle w:val="Bullets"/>
        <w:rPr>
          <w:noProof w:val="0"/>
          <w:lang w:val="en-US"/>
        </w:rPr>
      </w:pPr>
      <w:r w:rsidRPr="00210160">
        <w:rPr>
          <w:noProof w:val="0"/>
          <w:lang w:val="en-US"/>
        </w:rPr>
        <w:t>Desk research qualitative data, such as observed market patterns or reactions which may be applicable for Nasdaq Clearing</w:t>
      </w:r>
    </w:p>
    <w:p w14:paraId="19654B04" w14:textId="6BA60592" w:rsidR="005D2359" w:rsidRPr="00210160" w:rsidRDefault="005D2359" w:rsidP="00A82E8D">
      <w:pPr>
        <w:pStyle w:val="Bullets"/>
        <w:rPr>
          <w:noProof w:val="0"/>
          <w:lang w:val="en-US"/>
        </w:rPr>
      </w:pPr>
      <w:r w:rsidRPr="00210160">
        <w:rPr>
          <w:noProof w:val="0"/>
          <w:lang w:val="en-US"/>
        </w:rPr>
        <w:t>Input from relevant expert committees present at Nasdaq Clearing</w:t>
      </w:r>
    </w:p>
    <w:p w14:paraId="75700D3B" w14:textId="02CC3052" w:rsidR="00BE44CB" w:rsidRPr="00210160" w:rsidRDefault="00166BC4" w:rsidP="00BE44CB">
      <w:pPr>
        <w:pStyle w:val="Heading1"/>
      </w:pPr>
      <w:bookmarkStart w:id="145" w:name="_Ref41598356"/>
      <w:bookmarkStart w:id="146" w:name="_Toc233032386"/>
      <w:r w:rsidRPr="00210160">
        <w:lastRenderedPageBreak/>
        <w:t xml:space="preserve">Model </w:t>
      </w:r>
      <w:r w:rsidR="00E51A7E" w:rsidRPr="00210160">
        <w:t>methodology</w:t>
      </w:r>
      <w:bookmarkEnd w:id="145"/>
      <w:bookmarkEnd w:id="146"/>
    </w:p>
    <w:p w14:paraId="6E66603A" w14:textId="620EE9BF" w:rsidR="00621460" w:rsidRPr="00210160" w:rsidRDefault="00621460" w:rsidP="00A82E8D">
      <w:pPr>
        <w:pStyle w:val="BodyText"/>
        <w:rPr>
          <w:noProof w:val="0"/>
        </w:rPr>
      </w:pPr>
      <w:r w:rsidRPr="00210160">
        <w:rPr>
          <w:noProof w:val="0"/>
        </w:rPr>
        <w:t>The</w:t>
      </w:r>
      <w:r w:rsidR="00121876" w:rsidRPr="00210160">
        <w:rPr>
          <w:noProof w:val="0"/>
        </w:rPr>
        <w:t xml:space="preserve"> CCP’s</w:t>
      </w:r>
      <w:r w:rsidRPr="00210160">
        <w:rPr>
          <w:noProof w:val="0"/>
        </w:rPr>
        <w:t xml:space="preserve"> </w:t>
      </w:r>
      <w:r w:rsidR="00121876" w:rsidRPr="00210160">
        <w:rPr>
          <w:noProof w:val="0"/>
        </w:rPr>
        <w:t xml:space="preserve">credit exposure towards clearing members under </w:t>
      </w:r>
      <w:r w:rsidRPr="00210160">
        <w:rPr>
          <w:noProof w:val="0"/>
        </w:rPr>
        <w:t>extreme but plausible market conditions</w:t>
      </w:r>
      <w:r w:rsidR="00121876" w:rsidRPr="00210160">
        <w:rPr>
          <w:noProof w:val="0"/>
        </w:rPr>
        <w:t xml:space="preserve"> is estimated by the </w:t>
      </w:r>
      <w:proofErr w:type="spellStart"/>
      <w:r w:rsidR="00121876" w:rsidRPr="00210160">
        <w:rPr>
          <w:noProof w:val="0"/>
        </w:rPr>
        <w:t>CCaR</w:t>
      </w:r>
      <w:proofErr w:type="spellEnd"/>
      <w:r w:rsidR="00121876" w:rsidRPr="00210160">
        <w:rPr>
          <w:noProof w:val="0"/>
        </w:rPr>
        <w:t xml:space="preserve"> model for each clearing member and each clearing service separately</w:t>
      </w:r>
      <w:r w:rsidRPr="00210160">
        <w:rPr>
          <w:noProof w:val="0"/>
        </w:rPr>
        <w:t xml:space="preserve">. This section describes the methodology underpinning the model, starting with an overview of the methodology and its logic, followed by a description of the three main blocks </w:t>
      </w:r>
      <w:r w:rsidRPr="006C3DA7">
        <w:rPr>
          <w:i/>
          <w:iCs/>
          <w:noProof w:val="0"/>
        </w:rPr>
        <w:t>single risk factor stress estimation,</w:t>
      </w:r>
      <w:r w:rsidRPr="00210160">
        <w:rPr>
          <w:noProof w:val="0"/>
        </w:rPr>
        <w:t xml:space="preserve"> </w:t>
      </w:r>
      <w:r w:rsidRPr="006C3DA7">
        <w:rPr>
          <w:i/>
          <w:iCs/>
          <w:noProof w:val="0"/>
        </w:rPr>
        <w:t xml:space="preserve">portfolio </w:t>
      </w:r>
      <w:r w:rsidR="003111EE" w:rsidRPr="006C3DA7">
        <w:rPr>
          <w:i/>
          <w:iCs/>
          <w:noProof w:val="0"/>
        </w:rPr>
        <w:t>risk calculation</w:t>
      </w:r>
      <w:r w:rsidR="003111EE" w:rsidRPr="00210160">
        <w:rPr>
          <w:noProof w:val="0"/>
        </w:rPr>
        <w:t>,</w:t>
      </w:r>
      <w:r w:rsidRPr="00210160">
        <w:rPr>
          <w:noProof w:val="0"/>
        </w:rPr>
        <w:t xml:space="preserve"> and </w:t>
      </w:r>
      <w:r w:rsidRPr="006C3DA7">
        <w:rPr>
          <w:i/>
          <w:iCs/>
          <w:noProof w:val="0"/>
        </w:rPr>
        <w:t>stress loss calculation</w:t>
      </w:r>
      <w:r w:rsidR="008F0CF8" w:rsidRPr="006C3DA7">
        <w:rPr>
          <w:i/>
          <w:iCs/>
          <w:noProof w:val="0"/>
        </w:rPr>
        <w:t xml:space="preserve"> and aggregation</w:t>
      </w:r>
      <w:r w:rsidRPr="00210160">
        <w:rPr>
          <w:noProof w:val="0"/>
        </w:rPr>
        <w:t xml:space="preserve">. </w:t>
      </w:r>
      <w:r w:rsidR="009C4BBA" w:rsidRPr="00210160">
        <w:rPr>
          <w:noProof w:val="0"/>
        </w:rPr>
        <w:t>Within each section, the specifics of the different types of stress scenarios (hypothetical, historical and narrative</w:t>
      </w:r>
      <w:r w:rsidR="006C3DA7">
        <w:rPr>
          <w:noProof w:val="0"/>
        </w:rPr>
        <w:t>)</w:t>
      </w:r>
      <w:r w:rsidR="009C4BBA" w:rsidRPr="00210160">
        <w:rPr>
          <w:noProof w:val="0"/>
        </w:rPr>
        <w:t xml:space="preserve"> are considered. </w:t>
      </w:r>
    </w:p>
    <w:p w14:paraId="31B105DF" w14:textId="1C292141" w:rsidR="00060103" w:rsidRPr="00210160" w:rsidRDefault="00547FFA" w:rsidP="00594172">
      <w:pPr>
        <w:pStyle w:val="Heading2"/>
      </w:pPr>
      <w:bookmarkStart w:id="147" w:name="_Toc174352465"/>
      <w:bookmarkStart w:id="148" w:name="_Toc3821927"/>
      <w:bookmarkStart w:id="149" w:name="_Toc3822095"/>
      <w:bookmarkStart w:id="150" w:name="_Toc3822331"/>
      <w:bookmarkStart w:id="151" w:name="_Toc3822428"/>
      <w:bookmarkStart w:id="152" w:name="_Ref41588749"/>
      <w:bookmarkStart w:id="153" w:name="_Toc233032387"/>
      <w:bookmarkEnd w:id="147"/>
      <w:bookmarkEnd w:id="148"/>
      <w:bookmarkEnd w:id="149"/>
      <w:bookmarkEnd w:id="150"/>
      <w:bookmarkEnd w:id="151"/>
      <w:r w:rsidRPr="00210160">
        <w:t>Overview of model methodology and logic</w:t>
      </w:r>
      <w:bookmarkEnd w:id="152"/>
      <w:bookmarkEnd w:id="153"/>
    </w:p>
    <w:p w14:paraId="795BCC0C" w14:textId="57DFBBA7" w:rsidR="00621460" w:rsidRPr="00210160" w:rsidRDefault="00621460" w:rsidP="0019620E">
      <w:pPr>
        <w:pStyle w:val="BodyText"/>
        <w:rPr>
          <w:noProof w:val="0"/>
        </w:rPr>
      </w:pPr>
      <w:r w:rsidRPr="00210160">
        <w:rPr>
          <w:noProof w:val="0"/>
        </w:rPr>
        <w:t xml:space="preserve">The </w:t>
      </w:r>
      <w:proofErr w:type="spellStart"/>
      <w:r w:rsidRPr="00210160">
        <w:rPr>
          <w:noProof w:val="0"/>
        </w:rPr>
        <w:t>CCaR</w:t>
      </w:r>
      <w:proofErr w:type="spellEnd"/>
      <w:r w:rsidRPr="00210160">
        <w:rPr>
          <w:noProof w:val="0"/>
        </w:rPr>
        <w:t xml:space="preserve"> model can broadly be divided into three main blocks:</w:t>
      </w:r>
    </w:p>
    <w:p w14:paraId="16417166" w14:textId="43B4CA7F" w:rsidR="00621460" w:rsidRPr="00210160" w:rsidRDefault="00621460" w:rsidP="0019620E">
      <w:pPr>
        <w:pStyle w:val="Bullets"/>
        <w:rPr>
          <w:noProof w:val="0"/>
          <w:lang w:val="en-US"/>
        </w:rPr>
      </w:pPr>
      <w:r w:rsidRPr="00210160">
        <w:rPr>
          <w:noProof w:val="0"/>
          <w:lang w:val="en-US"/>
        </w:rPr>
        <w:t>Single risk factor stress estimation,</w:t>
      </w:r>
    </w:p>
    <w:p w14:paraId="190F7724" w14:textId="74AE08A7" w:rsidR="00621460" w:rsidRPr="00210160" w:rsidRDefault="00621460" w:rsidP="0019620E">
      <w:pPr>
        <w:pStyle w:val="Bullets"/>
        <w:rPr>
          <w:noProof w:val="0"/>
          <w:lang w:val="en-US"/>
        </w:rPr>
      </w:pPr>
      <w:r w:rsidRPr="00210160">
        <w:rPr>
          <w:noProof w:val="0"/>
          <w:lang w:val="en-US"/>
        </w:rPr>
        <w:t xml:space="preserve">Portfolio </w:t>
      </w:r>
      <w:r w:rsidR="00671D21" w:rsidRPr="00210160">
        <w:rPr>
          <w:noProof w:val="0"/>
          <w:lang w:val="en-US"/>
        </w:rPr>
        <w:t>risk calculation</w:t>
      </w:r>
      <w:r w:rsidRPr="00210160">
        <w:rPr>
          <w:noProof w:val="0"/>
          <w:lang w:val="en-US"/>
        </w:rPr>
        <w:t>, and</w:t>
      </w:r>
    </w:p>
    <w:p w14:paraId="6D72427B" w14:textId="5A7CB6BF" w:rsidR="00621460" w:rsidRPr="00210160" w:rsidRDefault="00621460" w:rsidP="0019620E">
      <w:pPr>
        <w:pStyle w:val="Bullets"/>
        <w:rPr>
          <w:noProof w:val="0"/>
          <w:lang w:val="en-US"/>
        </w:rPr>
      </w:pPr>
      <w:r w:rsidRPr="00210160">
        <w:rPr>
          <w:noProof w:val="0"/>
          <w:lang w:val="en-US"/>
        </w:rPr>
        <w:t>Stress loss calculation and aggregation</w:t>
      </w:r>
      <w:r w:rsidR="00AB1521">
        <w:rPr>
          <w:noProof w:val="0"/>
          <w:lang w:val="en-US"/>
        </w:rPr>
        <w:tab/>
      </w:r>
    </w:p>
    <w:p w14:paraId="3F28DBDB" w14:textId="1F02EB7F" w:rsidR="00547FFA" w:rsidRPr="00210160" w:rsidRDefault="0019620E" w:rsidP="0019620E">
      <w:pPr>
        <w:pStyle w:val="BodyText"/>
        <w:rPr>
          <w:noProof w:val="0"/>
        </w:rPr>
      </w:pPr>
      <w:r w:rsidRPr="00210160">
        <w:rPr>
          <w:noProof w:val="0"/>
          <w:highlight w:val="yellow"/>
        </w:rPr>
        <w:fldChar w:fldCharType="begin"/>
      </w:r>
      <w:r w:rsidRPr="00210160">
        <w:rPr>
          <w:noProof w:val="0"/>
        </w:rPr>
        <w:instrText xml:space="preserve"> REF _Ref41046102 \h </w:instrText>
      </w:r>
      <w:r w:rsidRPr="00210160">
        <w:rPr>
          <w:noProof w:val="0"/>
          <w:highlight w:val="yellow"/>
        </w:rPr>
      </w:r>
      <w:r w:rsidRPr="00210160">
        <w:rPr>
          <w:noProof w:val="0"/>
          <w:highlight w:val="yellow"/>
        </w:rPr>
        <w:fldChar w:fldCharType="separate"/>
      </w:r>
      <w:r w:rsidR="009A4B3A" w:rsidRPr="00210160">
        <w:rPr>
          <w:lang w:val="en-US"/>
        </w:rPr>
        <w:t xml:space="preserve">Figure </w:t>
      </w:r>
      <w:r w:rsidR="009A4B3A">
        <w:rPr>
          <w:lang w:val="en-US"/>
        </w:rPr>
        <w:t>1</w:t>
      </w:r>
      <w:r w:rsidRPr="00210160">
        <w:rPr>
          <w:noProof w:val="0"/>
          <w:highlight w:val="yellow"/>
        </w:rPr>
        <w:fldChar w:fldCharType="end"/>
      </w:r>
      <w:r w:rsidR="007D6320" w:rsidRPr="00210160">
        <w:rPr>
          <w:noProof w:val="0"/>
        </w:rPr>
        <w:t xml:space="preserve"> </w:t>
      </w:r>
      <w:r w:rsidR="00DE01A7" w:rsidRPr="00210160">
        <w:rPr>
          <w:noProof w:val="0"/>
        </w:rPr>
        <w:t>below provides a visual overview of the model and the three main blocks, which are respectively described in more detail in the three following sections.</w:t>
      </w:r>
    </w:p>
    <w:p w14:paraId="2257AC12" w14:textId="29FB7279" w:rsidR="007D6320" w:rsidRDefault="007D6320" w:rsidP="00C34C06">
      <w:pPr>
        <w:pStyle w:val="Caption"/>
        <w:rPr>
          <w:lang w:val="en-US"/>
        </w:rPr>
      </w:pPr>
      <w:bookmarkStart w:id="154" w:name="_Ref41046102"/>
      <w:r w:rsidRPr="00210160">
        <w:rPr>
          <w:lang w:val="en-US"/>
        </w:rPr>
        <w:t xml:space="preserve">Figure </w:t>
      </w:r>
      <w:r w:rsidR="00014555" w:rsidRPr="00210160">
        <w:rPr>
          <w:lang w:val="en-US"/>
        </w:rPr>
        <w:fldChar w:fldCharType="begin"/>
      </w:r>
      <w:r w:rsidR="00014555" w:rsidRPr="00210160">
        <w:rPr>
          <w:lang w:val="en-US"/>
        </w:rPr>
        <w:instrText xml:space="preserve"> SEQ Figure \* ARABIC </w:instrText>
      </w:r>
      <w:r w:rsidR="00014555" w:rsidRPr="00210160">
        <w:rPr>
          <w:lang w:val="en-US"/>
        </w:rPr>
        <w:fldChar w:fldCharType="separate"/>
      </w:r>
      <w:r w:rsidR="009A4B3A">
        <w:rPr>
          <w:noProof/>
          <w:lang w:val="en-US"/>
        </w:rPr>
        <w:t>1</w:t>
      </w:r>
      <w:r w:rsidR="00014555" w:rsidRPr="00210160">
        <w:rPr>
          <w:lang w:val="en-US"/>
        </w:rPr>
        <w:fldChar w:fldCharType="end"/>
      </w:r>
      <w:bookmarkEnd w:id="154"/>
      <w:r w:rsidR="0019620E" w:rsidRPr="00210160">
        <w:rPr>
          <w:lang w:val="en-US"/>
        </w:rPr>
        <w:t xml:space="preserve">: </w:t>
      </w:r>
      <w:r w:rsidRPr="00210160">
        <w:rPr>
          <w:lang w:val="en-US"/>
        </w:rPr>
        <w:t xml:space="preserve">Overview of </w:t>
      </w:r>
      <w:proofErr w:type="spellStart"/>
      <w:r w:rsidRPr="00210160">
        <w:rPr>
          <w:lang w:val="en-US"/>
        </w:rPr>
        <w:t>CCaR</w:t>
      </w:r>
      <w:proofErr w:type="spellEnd"/>
      <w:r w:rsidRPr="00210160">
        <w:rPr>
          <w:lang w:val="en-US"/>
        </w:rPr>
        <w:t xml:space="preserve"> Calculation</w:t>
      </w:r>
    </w:p>
    <w:p w14:paraId="7F09E356" w14:textId="3FB2D943" w:rsidR="00702EB9" w:rsidRPr="00702EB9" w:rsidRDefault="00702EB9" w:rsidP="00702EB9">
      <w:pPr>
        <w:rPr>
          <w:lang w:val="en-US"/>
        </w:rPr>
      </w:pPr>
      <w:r>
        <w:rPr>
          <w:noProof/>
          <w:lang w:val="en-US"/>
        </w:rPr>
        <w:drawing>
          <wp:inline distT="0" distB="0" distL="0" distR="0" wp14:anchorId="4B45B462" wp14:editId="064C27A4">
            <wp:extent cx="5731510" cy="3463290"/>
            <wp:effectExtent l="0" t="0" r="2540" b="3810"/>
            <wp:docPr id="633791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91119" name="Picture 633791119"/>
                    <pic:cNvPicPr/>
                  </pic:nvPicPr>
                  <pic:blipFill>
                    <a:blip r:embed="rId14">
                      <a:extLst>
                        <a:ext uri="{28A0092B-C50C-407E-A947-70E740481C1C}">
                          <a14:useLocalDpi xmlns:a14="http://schemas.microsoft.com/office/drawing/2010/main" val="0"/>
                        </a:ext>
                      </a:extLst>
                    </a:blip>
                    <a:stretch>
                      <a:fillRect/>
                    </a:stretch>
                  </pic:blipFill>
                  <pic:spPr>
                    <a:xfrm>
                      <a:off x="0" y="0"/>
                      <a:ext cx="5731510" cy="3463290"/>
                    </a:xfrm>
                    <a:prstGeom prst="rect">
                      <a:avLst/>
                    </a:prstGeom>
                  </pic:spPr>
                </pic:pic>
              </a:graphicData>
            </a:graphic>
          </wp:inline>
        </w:drawing>
      </w:r>
    </w:p>
    <w:p w14:paraId="6759B26A" w14:textId="0FF591FF" w:rsidR="00547FFA" w:rsidRPr="00210160" w:rsidRDefault="00547FFA" w:rsidP="00547FFA"/>
    <w:p w14:paraId="686546AB" w14:textId="105501BD" w:rsidR="00547FFA" w:rsidRPr="00210160" w:rsidRDefault="00547FFA" w:rsidP="00547FFA"/>
    <w:p w14:paraId="3EC4C79D" w14:textId="79F79B06" w:rsidR="00CD79D5" w:rsidRPr="00210160" w:rsidRDefault="003051DA" w:rsidP="00547FFA">
      <w:pPr>
        <w:pStyle w:val="Heading2"/>
      </w:pPr>
      <w:bookmarkStart w:id="155" w:name="_Ref41580396"/>
      <w:bookmarkStart w:id="156" w:name="_Ref41594477"/>
      <w:bookmarkStart w:id="157" w:name="_Toc233032388"/>
      <w:r w:rsidRPr="00210160">
        <w:lastRenderedPageBreak/>
        <w:t>Single risk factor stress estimation</w:t>
      </w:r>
      <w:bookmarkEnd w:id="155"/>
      <w:bookmarkEnd w:id="156"/>
      <w:bookmarkEnd w:id="157"/>
    </w:p>
    <w:p w14:paraId="117ADDD3" w14:textId="6E091031" w:rsidR="00DF3BAA" w:rsidRPr="00210160" w:rsidRDefault="00DE01A7" w:rsidP="00040E92">
      <w:pPr>
        <w:pStyle w:val="BodyText"/>
        <w:rPr>
          <w:noProof w:val="0"/>
        </w:rPr>
      </w:pPr>
      <w:r w:rsidRPr="00210160">
        <w:rPr>
          <w:noProof w:val="0"/>
        </w:rPr>
        <w:t xml:space="preserve">The purpose of the single risk factor stress estimation is to </w:t>
      </w:r>
      <w:r w:rsidR="00DC0118">
        <w:rPr>
          <w:noProof w:val="0"/>
        </w:rPr>
        <w:t xml:space="preserve">in isolation </w:t>
      </w:r>
      <w:r w:rsidR="00C86D8F" w:rsidRPr="00210160">
        <w:rPr>
          <w:noProof w:val="0"/>
        </w:rPr>
        <w:t xml:space="preserve">estimate </w:t>
      </w:r>
      <w:r w:rsidRPr="00210160">
        <w:rPr>
          <w:noProof w:val="0"/>
        </w:rPr>
        <w:t xml:space="preserve">the </w:t>
      </w:r>
      <w:r w:rsidR="00A24F5F" w:rsidRPr="00210160">
        <w:rPr>
          <w:noProof w:val="0"/>
        </w:rPr>
        <w:t>market movements expected</w:t>
      </w:r>
      <w:r w:rsidR="00C86D8F" w:rsidRPr="00210160">
        <w:rPr>
          <w:noProof w:val="0"/>
        </w:rPr>
        <w:t xml:space="preserve"> under extreme but plausible scenarios for each risk factor included in the model scope. </w:t>
      </w:r>
      <w:r w:rsidR="00A24F5F" w:rsidRPr="00210160">
        <w:rPr>
          <w:noProof w:val="0"/>
        </w:rPr>
        <w:t>M</w:t>
      </w:r>
      <w:r w:rsidR="00C86D8F" w:rsidRPr="00210160">
        <w:rPr>
          <w:noProof w:val="0"/>
        </w:rPr>
        <w:t xml:space="preserve">aterial </w:t>
      </w:r>
      <w:r w:rsidRPr="00210160">
        <w:rPr>
          <w:noProof w:val="0"/>
        </w:rPr>
        <w:t xml:space="preserve">risk factors per </w:t>
      </w:r>
      <w:r w:rsidR="00321AFD" w:rsidRPr="00210160">
        <w:rPr>
          <w:noProof w:val="0"/>
        </w:rPr>
        <w:t xml:space="preserve">asset class </w:t>
      </w:r>
      <w:r w:rsidR="00C86D8F" w:rsidRPr="00210160">
        <w:rPr>
          <w:noProof w:val="0"/>
        </w:rPr>
        <w:t>are used</w:t>
      </w:r>
      <w:r w:rsidRPr="00210160">
        <w:rPr>
          <w:noProof w:val="0"/>
        </w:rPr>
        <w:t xml:space="preserve"> to derive the stress</w:t>
      </w:r>
      <w:r w:rsidR="00C86D8F" w:rsidRPr="00210160">
        <w:rPr>
          <w:noProof w:val="0"/>
        </w:rPr>
        <w:t xml:space="preserve"> levels </w:t>
      </w:r>
      <w:r w:rsidRPr="00210160">
        <w:rPr>
          <w:noProof w:val="0"/>
        </w:rPr>
        <w:t xml:space="preserve">to consequently </w:t>
      </w:r>
      <w:r w:rsidR="00C86D8F" w:rsidRPr="00210160">
        <w:rPr>
          <w:noProof w:val="0"/>
        </w:rPr>
        <w:t xml:space="preserve">be </w:t>
      </w:r>
      <w:r w:rsidRPr="00210160">
        <w:rPr>
          <w:noProof w:val="0"/>
        </w:rPr>
        <w:t>utilize</w:t>
      </w:r>
      <w:r w:rsidR="00C86D8F" w:rsidRPr="00210160">
        <w:rPr>
          <w:noProof w:val="0"/>
        </w:rPr>
        <w:t>d</w:t>
      </w:r>
      <w:r w:rsidRPr="00210160">
        <w:rPr>
          <w:noProof w:val="0"/>
        </w:rPr>
        <w:t xml:space="preserve"> in the portfolio stress calculatio</w:t>
      </w:r>
      <w:r w:rsidR="00A24F5F" w:rsidRPr="00210160">
        <w:rPr>
          <w:noProof w:val="0"/>
        </w:rPr>
        <w:t>n</w:t>
      </w:r>
      <w:r w:rsidRPr="00210160">
        <w:rPr>
          <w:noProof w:val="0"/>
        </w:rPr>
        <w:t xml:space="preserve">. </w:t>
      </w:r>
      <w:r w:rsidR="000B4EE4" w:rsidRPr="00210160">
        <w:rPr>
          <w:noProof w:val="0"/>
        </w:rPr>
        <w:t xml:space="preserve">For each of </w:t>
      </w:r>
      <w:r w:rsidR="00DF3BAA" w:rsidRPr="00210160">
        <w:rPr>
          <w:noProof w:val="0"/>
        </w:rPr>
        <w:t xml:space="preserve">the </w:t>
      </w:r>
      <w:r w:rsidR="00321AFD" w:rsidRPr="00210160">
        <w:rPr>
          <w:noProof w:val="0"/>
        </w:rPr>
        <w:t>asset classes</w:t>
      </w:r>
      <w:r w:rsidR="00AC0D1C">
        <w:rPr>
          <w:noProof w:val="0"/>
        </w:rPr>
        <w:t xml:space="preserve">, </w:t>
      </w:r>
      <w:r w:rsidR="00DF3BAA" w:rsidRPr="00210160">
        <w:rPr>
          <w:noProof w:val="0"/>
        </w:rPr>
        <w:t xml:space="preserve">the </w:t>
      </w:r>
      <w:r w:rsidR="00C86D8F" w:rsidRPr="00210160">
        <w:rPr>
          <w:noProof w:val="0"/>
        </w:rPr>
        <w:t>risk factor stress levels are estimated depending on scenario type</w:t>
      </w:r>
      <w:r w:rsidR="00DF3BAA" w:rsidRPr="00210160">
        <w:rPr>
          <w:noProof w:val="0"/>
        </w:rPr>
        <w:t xml:space="preserve">: </w:t>
      </w:r>
    </w:p>
    <w:p w14:paraId="6D48504F" w14:textId="768342A5" w:rsidR="00E64D67" w:rsidRPr="00210160" w:rsidRDefault="000B4EE4" w:rsidP="00040E92">
      <w:pPr>
        <w:pStyle w:val="Bullets"/>
        <w:rPr>
          <w:noProof w:val="0"/>
          <w:lang w:val="en-US"/>
        </w:rPr>
      </w:pPr>
      <w:r w:rsidRPr="00210160">
        <w:rPr>
          <w:noProof w:val="0"/>
          <w:lang w:val="en-US"/>
        </w:rPr>
        <w:t xml:space="preserve">Hypothetical </w:t>
      </w:r>
      <w:r w:rsidR="00CD5DE4" w:rsidRPr="00210160">
        <w:rPr>
          <w:noProof w:val="0"/>
          <w:lang w:val="en-US"/>
        </w:rPr>
        <w:t>scenarios:</w:t>
      </w:r>
      <w:r w:rsidR="00C86D8F" w:rsidRPr="00210160">
        <w:rPr>
          <w:noProof w:val="0"/>
          <w:lang w:val="en-US"/>
        </w:rPr>
        <w:t xml:space="preserve"> </w:t>
      </w:r>
      <w:r w:rsidRPr="00210160">
        <w:rPr>
          <w:noProof w:val="0"/>
          <w:lang w:val="en-US"/>
        </w:rPr>
        <w:t xml:space="preserve">the 99.9 percentile </w:t>
      </w:r>
      <w:r w:rsidR="00E64D67" w:rsidRPr="00210160">
        <w:rPr>
          <w:noProof w:val="0"/>
          <w:lang w:val="en-US"/>
        </w:rPr>
        <w:t>return</w:t>
      </w:r>
      <w:r w:rsidR="00321AFD" w:rsidRPr="00210160">
        <w:rPr>
          <w:noProof w:val="0"/>
          <w:lang w:val="en-US"/>
        </w:rPr>
        <w:t xml:space="preserve"> derived through extreme value theory</w:t>
      </w:r>
      <w:r w:rsidR="009D2FD6" w:rsidRPr="00210160">
        <w:rPr>
          <w:noProof w:val="0"/>
          <w:lang w:val="en-US"/>
        </w:rPr>
        <w:t xml:space="preserve"> (if possible)</w:t>
      </w:r>
      <w:r w:rsidR="00321AFD" w:rsidRPr="00210160">
        <w:rPr>
          <w:noProof w:val="0"/>
          <w:lang w:val="en-US"/>
        </w:rPr>
        <w:t>,</w:t>
      </w:r>
      <w:r w:rsidR="00E64D67" w:rsidRPr="00210160">
        <w:rPr>
          <w:noProof w:val="0"/>
          <w:lang w:val="en-US"/>
        </w:rPr>
        <w:t xml:space="preserve"> of </w:t>
      </w:r>
      <w:r w:rsidRPr="00210160">
        <w:rPr>
          <w:noProof w:val="0"/>
          <w:lang w:val="en-US"/>
        </w:rPr>
        <w:t xml:space="preserve">each individual risk factor </w:t>
      </w:r>
      <w:r w:rsidR="00321AFD" w:rsidRPr="00210160">
        <w:rPr>
          <w:noProof w:val="0"/>
          <w:lang w:val="en-US"/>
        </w:rPr>
        <w:t xml:space="preserve">forms the </w:t>
      </w:r>
      <w:r w:rsidR="0086072B" w:rsidRPr="00210160">
        <w:rPr>
          <w:noProof w:val="0"/>
          <w:lang w:val="en-US"/>
        </w:rPr>
        <w:t xml:space="preserve">single risk factor stress </w:t>
      </w:r>
    </w:p>
    <w:p w14:paraId="6C2DC68F" w14:textId="451A5687" w:rsidR="00321AFD" w:rsidRPr="00210160" w:rsidRDefault="00321AFD" w:rsidP="00040E92">
      <w:pPr>
        <w:pStyle w:val="Bullets"/>
        <w:rPr>
          <w:noProof w:val="0"/>
          <w:lang w:val="en-US"/>
        </w:rPr>
      </w:pPr>
      <w:r w:rsidRPr="00210160">
        <w:rPr>
          <w:noProof w:val="0"/>
          <w:lang w:val="en-US"/>
        </w:rPr>
        <w:t xml:space="preserve">Historical </w:t>
      </w:r>
      <w:r w:rsidR="00CD5DE4" w:rsidRPr="00210160">
        <w:rPr>
          <w:noProof w:val="0"/>
          <w:lang w:val="en-US"/>
        </w:rPr>
        <w:t>scenarios:</w:t>
      </w:r>
      <w:r w:rsidR="0086072B" w:rsidRPr="00210160">
        <w:rPr>
          <w:noProof w:val="0"/>
          <w:lang w:val="en-US"/>
        </w:rPr>
        <w:t xml:space="preserve"> </w:t>
      </w:r>
      <w:r w:rsidRPr="00210160">
        <w:rPr>
          <w:noProof w:val="0"/>
          <w:lang w:val="en-US"/>
        </w:rPr>
        <w:t xml:space="preserve">the returns occurring </w:t>
      </w:r>
      <w:r w:rsidR="0086072B" w:rsidRPr="00210160">
        <w:rPr>
          <w:noProof w:val="0"/>
          <w:lang w:val="en-US"/>
        </w:rPr>
        <w:t xml:space="preserve">during </w:t>
      </w:r>
      <w:proofErr w:type="gramStart"/>
      <w:r w:rsidR="0086072B" w:rsidRPr="00210160">
        <w:rPr>
          <w:noProof w:val="0"/>
          <w:lang w:val="en-US"/>
        </w:rPr>
        <w:t>the historical</w:t>
      </w:r>
      <w:proofErr w:type="gramEnd"/>
      <w:r w:rsidR="0086072B" w:rsidRPr="00210160">
        <w:rPr>
          <w:noProof w:val="0"/>
          <w:lang w:val="en-US"/>
        </w:rPr>
        <w:t xml:space="preserve"> extreme events are identified, extrapolated and used as the single risk factor stress</w:t>
      </w:r>
    </w:p>
    <w:p w14:paraId="17627320" w14:textId="3ED77CEF" w:rsidR="0086072B" w:rsidRPr="00210160" w:rsidRDefault="0086072B" w:rsidP="00040E92">
      <w:pPr>
        <w:pStyle w:val="Bullets"/>
        <w:rPr>
          <w:noProof w:val="0"/>
          <w:lang w:val="en-US"/>
        </w:rPr>
      </w:pPr>
      <w:r w:rsidRPr="00210160">
        <w:rPr>
          <w:noProof w:val="0"/>
          <w:lang w:val="en-US"/>
        </w:rPr>
        <w:t xml:space="preserve">Narrative </w:t>
      </w:r>
      <w:r w:rsidR="00CD5DE4" w:rsidRPr="00210160">
        <w:rPr>
          <w:noProof w:val="0"/>
          <w:lang w:val="en-US"/>
        </w:rPr>
        <w:t>scenarios:</w:t>
      </w:r>
      <w:r w:rsidRPr="00210160">
        <w:rPr>
          <w:noProof w:val="0"/>
          <w:lang w:val="en-US"/>
        </w:rPr>
        <w:t xml:space="preserve"> the relevant returns for the respective risk factors as estimated for the scenarios are used as the single risk factor stress</w:t>
      </w:r>
    </w:p>
    <w:p w14:paraId="4041A156" w14:textId="26FD473C" w:rsidR="000B4EE4" w:rsidRPr="00210160" w:rsidRDefault="00E64D67" w:rsidP="00040E92">
      <w:pPr>
        <w:pStyle w:val="BodyText"/>
        <w:rPr>
          <w:noProof w:val="0"/>
        </w:rPr>
      </w:pPr>
      <w:r w:rsidRPr="00210160">
        <w:rPr>
          <w:noProof w:val="0"/>
        </w:rPr>
        <w:t xml:space="preserve">In the </w:t>
      </w:r>
      <w:r w:rsidR="0086072B" w:rsidRPr="00210160">
        <w:rPr>
          <w:noProof w:val="0"/>
        </w:rPr>
        <w:t xml:space="preserve">following sub </w:t>
      </w:r>
      <w:r w:rsidRPr="00210160">
        <w:rPr>
          <w:noProof w:val="0"/>
        </w:rPr>
        <w:t xml:space="preserve">sections below, the methodology for generating the </w:t>
      </w:r>
      <w:r w:rsidR="00321AFD" w:rsidRPr="00210160">
        <w:rPr>
          <w:noProof w:val="0"/>
        </w:rPr>
        <w:t xml:space="preserve">single risk factor shocks </w:t>
      </w:r>
      <w:r w:rsidR="00CD5DE4" w:rsidRPr="00210160">
        <w:rPr>
          <w:noProof w:val="0"/>
        </w:rPr>
        <w:t>is</w:t>
      </w:r>
      <w:r w:rsidR="0086072B" w:rsidRPr="00210160">
        <w:rPr>
          <w:noProof w:val="0"/>
        </w:rPr>
        <w:t xml:space="preserve"> described</w:t>
      </w:r>
      <w:r w:rsidR="009D2FD6" w:rsidRPr="00210160">
        <w:rPr>
          <w:noProof w:val="0"/>
        </w:rPr>
        <w:t xml:space="preserve">, starting with the hypothetical scenarios. </w:t>
      </w:r>
      <w:r w:rsidR="00C975A6" w:rsidRPr="00210160">
        <w:rPr>
          <w:noProof w:val="0"/>
        </w:rPr>
        <w:t>In the final section, stress parameters which are common across the scenario types are outlined (stress to implied volatility, FX and stressed liquidation cost</w:t>
      </w:r>
      <w:r w:rsidR="005063E9">
        <w:rPr>
          <w:noProof w:val="0"/>
        </w:rPr>
        <w:t>.</w:t>
      </w:r>
    </w:p>
    <w:p w14:paraId="77C9C06B" w14:textId="2F980456" w:rsidR="009E0E18" w:rsidRPr="00210160" w:rsidRDefault="009E0E18" w:rsidP="00547FFA">
      <w:pPr>
        <w:pStyle w:val="Heading3"/>
      </w:pPr>
      <w:bookmarkStart w:id="158" w:name="_Ref41580418"/>
      <w:r w:rsidRPr="00210160">
        <w:t xml:space="preserve">Generating </w:t>
      </w:r>
      <w:r w:rsidR="004903F3">
        <w:t>h</w:t>
      </w:r>
      <w:r w:rsidRPr="00210160">
        <w:t xml:space="preserve">ypothetical </w:t>
      </w:r>
      <w:r w:rsidR="004903F3">
        <w:t>s</w:t>
      </w:r>
      <w:r w:rsidRPr="00210160">
        <w:t xml:space="preserve">cenario </w:t>
      </w:r>
      <w:r w:rsidR="004903F3">
        <w:t>s</w:t>
      </w:r>
      <w:r w:rsidRPr="00210160">
        <w:t xml:space="preserve">ingle </w:t>
      </w:r>
      <w:r w:rsidR="004903F3">
        <w:t>r</w:t>
      </w:r>
      <w:r w:rsidRPr="00210160">
        <w:t xml:space="preserve">isk </w:t>
      </w:r>
      <w:r w:rsidR="004903F3">
        <w:t>f</w:t>
      </w:r>
      <w:r w:rsidRPr="00210160">
        <w:t xml:space="preserve">actor </w:t>
      </w:r>
      <w:r w:rsidR="004903F3">
        <w:t>s</w:t>
      </w:r>
      <w:r w:rsidRPr="00210160">
        <w:t>tress</w:t>
      </w:r>
      <w:bookmarkEnd w:id="158"/>
    </w:p>
    <w:p w14:paraId="389F0AD0" w14:textId="60659C97" w:rsidR="00E64D67" w:rsidRPr="00210160" w:rsidRDefault="00C214BA" w:rsidP="00A637A7">
      <w:pPr>
        <w:pStyle w:val="BodyText"/>
        <w:rPr>
          <w:noProof w:val="0"/>
        </w:rPr>
      </w:pPr>
      <w:r w:rsidRPr="00210160">
        <w:rPr>
          <w:noProof w:val="0"/>
        </w:rPr>
        <w:t>The approach for</w:t>
      </w:r>
      <w:r w:rsidR="00BD4487" w:rsidRPr="00210160">
        <w:rPr>
          <w:noProof w:val="0"/>
        </w:rPr>
        <w:t xml:space="preserve"> generat</w:t>
      </w:r>
      <w:r w:rsidRPr="00210160">
        <w:rPr>
          <w:noProof w:val="0"/>
        </w:rPr>
        <w:t>ing</w:t>
      </w:r>
      <w:r w:rsidR="00BD4487" w:rsidRPr="00210160">
        <w:rPr>
          <w:noProof w:val="0"/>
        </w:rPr>
        <w:t xml:space="preserve"> the hypothe</w:t>
      </w:r>
      <w:r w:rsidRPr="00210160">
        <w:rPr>
          <w:noProof w:val="0"/>
        </w:rPr>
        <w:t>tical scenario single risk factor stresses can be summarized in</w:t>
      </w:r>
      <w:r w:rsidR="003836EA" w:rsidRPr="00210160">
        <w:rPr>
          <w:noProof w:val="0"/>
        </w:rPr>
        <w:t xml:space="preserve"> the below </w:t>
      </w:r>
      <w:r w:rsidR="00905BF6" w:rsidRPr="00210160">
        <w:rPr>
          <w:noProof w:val="0"/>
        </w:rPr>
        <w:t>four</w:t>
      </w:r>
      <w:r w:rsidR="003836EA" w:rsidRPr="00210160">
        <w:rPr>
          <w:noProof w:val="0"/>
        </w:rPr>
        <w:t xml:space="preserve"> steps:</w:t>
      </w:r>
    </w:p>
    <w:p w14:paraId="13AAF978" w14:textId="77777777" w:rsidR="007B2E29" w:rsidRPr="00210160" w:rsidRDefault="00AF7E66" w:rsidP="007B040A">
      <w:pPr>
        <w:pStyle w:val="ListBullet"/>
        <w:numPr>
          <w:ilvl w:val="0"/>
          <w:numId w:val="18"/>
        </w:numPr>
        <w:ind w:left="360" w:right="360"/>
      </w:pPr>
      <w:r w:rsidRPr="00210160">
        <w:rPr>
          <w:b/>
        </w:rPr>
        <w:t>Return computation:</w:t>
      </w:r>
      <w:r w:rsidRPr="00210160">
        <w:t xml:space="preserve"> </w:t>
      </w:r>
      <w:r w:rsidR="003836EA" w:rsidRPr="00210160">
        <w:t>Historical returns are calculated over the relevant liquidation period</w:t>
      </w:r>
    </w:p>
    <w:p w14:paraId="1568B988" w14:textId="5E8C0744" w:rsidR="007B2E29" w:rsidRPr="00210160" w:rsidRDefault="00C214BA" w:rsidP="007B040A">
      <w:pPr>
        <w:pStyle w:val="ListBullet"/>
        <w:numPr>
          <w:ilvl w:val="0"/>
          <w:numId w:val="18"/>
        </w:numPr>
        <w:ind w:left="360" w:right="360"/>
      </w:pPr>
      <w:r w:rsidRPr="00210160">
        <w:rPr>
          <w:b/>
        </w:rPr>
        <w:t xml:space="preserve">Stress parameter estimation: </w:t>
      </w:r>
      <w:r w:rsidRPr="00210160">
        <w:t>The stress parameter for the risk factor is calculated using:</w:t>
      </w:r>
    </w:p>
    <w:p w14:paraId="7440FD5D" w14:textId="77777777" w:rsidR="007B2E29" w:rsidRPr="00210160" w:rsidRDefault="007B2E29" w:rsidP="00A637A7">
      <w:pPr>
        <w:pStyle w:val="ListBullet2"/>
      </w:pPr>
      <w:r w:rsidRPr="00210160">
        <w:t>Extreme Value Theory estimation,</w:t>
      </w:r>
    </w:p>
    <w:p w14:paraId="5349D0D8" w14:textId="77777777" w:rsidR="007B2E29" w:rsidRPr="00210160" w:rsidRDefault="007B2E29" w:rsidP="00A637A7">
      <w:pPr>
        <w:pStyle w:val="ListBullet2"/>
      </w:pPr>
      <w:r w:rsidRPr="00210160">
        <w:t>Proxy application, or</w:t>
      </w:r>
    </w:p>
    <w:p w14:paraId="08232875" w14:textId="284DDEA2" w:rsidR="007B2E29" w:rsidRPr="00210160" w:rsidRDefault="007B2E29" w:rsidP="00A637A7">
      <w:pPr>
        <w:pStyle w:val="ListBullet2"/>
      </w:pPr>
      <w:r w:rsidRPr="00210160">
        <w:t xml:space="preserve">Fallback value </w:t>
      </w:r>
    </w:p>
    <w:p w14:paraId="19709EA5" w14:textId="77777777" w:rsidR="007B2E29" w:rsidRPr="00210160" w:rsidRDefault="00C214BA" w:rsidP="007B040A">
      <w:pPr>
        <w:pStyle w:val="ListBullet"/>
        <w:numPr>
          <w:ilvl w:val="0"/>
          <w:numId w:val="18"/>
        </w:numPr>
        <w:ind w:left="360" w:right="360"/>
        <w:rPr>
          <w:b/>
        </w:rPr>
      </w:pPr>
      <w:r w:rsidRPr="00210160">
        <w:rPr>
          <w:b/>
        </w:rPr>
        <w:t xml:space="preserve">Conservative floor application: </w:t>
      </w:r>
      <w:r w:rsidRPr="00210160">
        <w:t>The stress parameter estimates are compared against conservative floors, defined per asset class, to ensure prudent calibration</w:t>
      </w:r>
    </w:p>
    <w:p w14:paraId="576DEA44" w14:textId="2C19D6D1" w:rsidR="00E217E9" w:rsidRPr="00210160" w:rsidRDefault="00E217E9" w:rsidP="00D11347">
      <w:pPr>
        <w:pStyle w:val="Heading3"/>
        <w:tabs>
          <w:tab w:val="clear" w:pos="0"/>
        </w:tabs>
      </w:pPr>
      <w:bookmarkStart w:id="159" w:name="_Ref41580133"/>
      <w:r w:rsidRPr="00210160">
        <w:t>Generating historical scenario risk factor stress</w:t>
      </w:r>
      <w:bookmarkEnd w:id="159"/>
    </w:p>
    <w:p w14:paraId="2EC1056D" w14:textId="7652E4F7" w:rsidR="00E217E9" w:rsidRPr="00210160" w:rsidRDefault="00E217E9" w:rsidP="006E6F75">
      <w:pPr>
        <w:pStyle w:val="BodyText"/>
        <w:rPr>
          <w:noProof w:val="0"/>
        </w:rPr>
      </w:pPr>
      <w:r w:rsidRPr="00210160">
        <w:rPr>
          <w:noProof w:val="0"/>
          <w:color w:val="000000" w:themeColor="text1"/>
        </w:rPr>
        <w:t xml:space="preserve">The </w:t>
      </w:r>
      <w:r w:rsidRPr="00210160">
        <w:rPr>
          <w:noProof w:val="0"/>
        </w:rPr>
        <w:t>historical stress scenarios are historical market replays that replicate extreme market stresses observed historically. This section describes the methodology behind the historical stress scenarios, divided into:</w:t>
      </w:r>
    </w:p>
    <w:p w14:paraId="3DF9EE74" w14:textId="77777777" w:rsidR="00E217E9" w:rsidRPr="00210160" w:rsidRDefault="00E217E9" w:rsidP="007B040A">
      <w:pPr>
        <w:pStyle w:val="ListBullet"/>
        <w:numPr>
          <w:ilvl w:val="0"/>
          <w:numId w:val="20"/>
        </w:numPr>
      </w:pPr>
      <w:r w:rsidRPr="00210160">
        <w:t>Selection of historical events</w:t>
      </w:r>
    </w:p>
    <w:p w14:paraId="383DB966" w14:textId="77777777" w:rsidR="00E217E9" w:rsidRPr="00210160" w:rsidRDefault="00E217E9" w:rsidP="007B040A">
      <w:pPr>
        <w:pStyle w:val="ListBullet"/>
        <w:numPr>
          <w:ilvl w:val="0"/>
          <w:numId w:val="20"/>
        </w:numPr>
      </w:pPr>
      <w:r w:rsidRPr="00210160">
        <w:t>Calibration of historical stress</w:t>
      </w:r>
    </w:p>
    <w:p w14:paraId="32FE4F0E" w14:textId="0955DC95" w:rsidR="00E217E9" w:rsidRDefault="00E217E9" w:rsidP="007B040A">
      <w:pPr>
        <w:pStyle w:val="ListBullet"/>
        <w:numPr>
          <w:ilvl w:val="0"/>
          <w:numId w:val="20"/>
        </w:numPr>
      </w:pPr>
      <w:r w:rsidRPr="00210160">
        <w:t>Application of proxies and adjustments</w:t>
      </w:r>
    </w:p>
    <w:p w14:paraId="3DFBFA59" w14:textId="77777777" w:rsidR="00E40AE1" w:rsidRPr="00210160" w:rsidRDefault="00E40AE1" w:rsidP="00E40AE1">
      <w:pPr>
        <w:pStyle w:val="ListBullet"/>
        <w:numPr>
          <w:ilvl w:val="0"/>
          <w:numId w:val="0"/>
        </w:numPr>
        <w:ind w:left="360"/>
      </w:pPr>
    </w:p>
    <w:p w14:paraId="5ED1D193" w14:textId="77777777" w:rsidR="00E217E9" w:rsidRPr="00210160" w:rsidRDefault="00E217E9" w:rsidP="007B040A">
      <w:pPr>
        <w:pStyle w:val="Heading4"/>
        <w:numPr>
          <w:ilvl w:val="0"/>
          <w:numId w:val="21"/>
        </w:numPr>
        <w:ind w:left="360"/>
      </w:pPr>
      <w:r w:rsidRPr="00210160">
        <w:t>Selection of historical events</w:t>
      </w:r>
    </w:p>
    <w:p w14:paraId="7053EE1C" w14:textId="175B32AF" w:rsidR="00E217E9" w:rsidRPr="00210160" w:rsidRDefault="00E217E9" w:rsidP="00D11347">
      <w:pPr>
        <w:pStyle w:val="BodyText"/>
        <w:rPr>
          <w:noProof w:val="0"/>
        </w:rPr>
      </w:pPr>
      <w:r w:rsidRPr="00210160">
        <w:rPr>
          <w:noProof w:val="0"/>
        </w:rPr>
        <w:t xml:space="preserve">The historical events should represent periods in which risk factors to which Nasdaq Clearing has large exposure demonstrate significant volatility. The selection of historical events is in a first step </w:t>
      </w:r>
      <w:r w:rsidRPr="00210160">
        <w:rPr>
          <w:noProof w:val="0"/>
        </w:rPr>
        <w:lastRenderedPageBreak/>
        <w:t xml:space="preserve">based on inclusion of known market periods of stress, and as markets for different products have faced stress during different times, these vary with asset class. To ensure that the considered events represent extreme market movements, and that no other events with significant stress are missed out, the historical return series of the risk factors are investigated. </w:t>
      </w:r>
    </w:p>
    <w:p w14:paraId="5EE2A90C" w14:textId="77EDD40B" w:rsidR="00E217E9" w:rsidRPr="00210160" w:rsidRDefault="00E217E9" w:rsidP="00D11347">
      <w:pPr>
        <w:pStyle w:val="BodyText"/>
        <w:rPr>
          <w:noProof w:val="0"/>
        </w:rPr>
      </w:pPr>
      <w:r w:rsidRPr="00210160">
        <w:rPr>
          <w:noProof w:val="0"/>
        </w:rPr>
        <w:t>The events are selected based on the severity, i.e. the size of the observed</w:t>
      </w:r>
      <w:r w:rsidR="008A70D2" w:rsidRPr="00210160">
        <w:rPr>
          <w:noProof w:val="0"/>
        </w:rPr>
        <w:t xml:space="preserve"> risk factor</w:t>
      </w:r>
      <w:r w:rsidRPr="00210160">
        <w:rPr>
          <w:noProof w:val="0"/>
        </w:rPr>
        <w:t xml:space="preserve"> movement</w:t>
      </w:r>
      <w:r w:rsidR="008A70D2" w:rsidRPr="00210160">
        <w:rPr>
          <w:noProof w:val="0"/>
        </w:rPr>
        <w:t>s and</w:t>
      </w:r>
      <w:r w:rsidRPr="00210160">
        <w:rPr>
          <w:noProof w:val="0"/>
        </w:rPr>
        <w:t xml:space="preserve"> the impact </w:t>
      </w:r>
      <w:r w:rsidR="008A70D2" w:rsidRPr="00210160">
        <w:rPr>
          <w:noProof w:val="0"/>
        </w:rPr>
        <w:t>on</w:t>
      </w:r>
      <w:r w:rsidRPr="00210160">
        <w:rPr>
          <w:noProof w:val="0"/>
        </w:rPr>
        <w:t xml:space="preserve"> Nasdaq Clearing. Below, the general approach to select the events is described per asset class</w:t>
      </w:r>
      <w:r w:rsidR="00AC0D1C">
        <w:rPr>
          <w:noProof w:val="0"/>
        </w:rPr>
        <w:t>.</w:t>
      </w:r>
    </w:p>
    <w:p w14:paraId="387C1B62" w14:textId="77777777" w:rsidR="00E217E9" w:rsidRPr="00210160" w:rsidRDefault="00E217E9" w:rsidP="00E40AE1">
      <w:pPr>
        <w:pStyle w:val="SmallHeading"/>
      </w:pPr>
      <w:r w:rsidRPr="00210160">
        <w:t>Equities</w:t>
      </w:r>
    </w:p>
    <w:p w14:paraId="0C335945" w14:textId="3CEA2CA0" w:rsidR="00E217E9" w:rsidRPr="00210160" w:rsidRDefault="00E217E9" w:rsidP="00D11347">
      <w:pPr>
        <w:pStyle w:val="BodyText"/>
        <w:rPr>
          <w:noProof w:val="0"/>
        </w:rPr>
      </w:pPr>
      <w:r w:rsidRPr="00210160">
        <w:rPr>
          <w:noProof w:val="0"/>
        </w:rPr>
        <w:t xml:space="preserve">The equity derivatives market is dominated by the OMXS30 index derivatives in terms of equity risk exposure for the CCP (~70-80% of IM). Remaining exposure is largely to single names included in the OMXS30 index. As such, known periods of stress for the OMXS30 are therefore representable for the historical extreme events within the Equities asset class. </w:t>
      </w:r>
    </w:p>
    <w:p w14:paraId="28F4574D" w14:textId="77777777" w:rsidR="00E217E9" w:rsidRPr="00210160" w:rsidRDefault="00E217E9" w:rsidP="00E40AE1">
      <w:pPr>
        <w:pStyle w:val="SmallHeading"/>
        <w:rPr>
          <w:color w:val="000000" w:themeColor="text1"/>
        </w:rPr>
      </w:pPr>
      <w:r w:rsidRPr="00210160">
        <w:t>Fixed income</w:t>
      </w:r>
    </w:p>
    <w:p w14:paraId="01C4A4FA" w14:textId="5BD7145E" w:rsidR="00F61540" w:rsidRPr="00210160" w:rsidRDefault="00E217E9" w:rsidP="00D11347">
      <w:pPr>
        <w:pStyle w:val="BodyText"/>
        <w:rPr>
          <w:noProof w:val="0"/>
          <w:color w:val="000000" w:themeColor="text1"/>
        </w:rPr>
      </w:pPr>
      <w:r w:rsidRPr="00210160">
        <w:rPr>
          <w:noProof w:val="0"/>
          <w:color w:val="000000" w:themeColor="text1"/>
        </w:rPr>
        <w:t>The Swedish Swap Curve is the largest exposure within the Fixed income derivatives asset class. From a materiality perspective it is therefore deemed reasonable to define the historical extreme events as the periods for which the SEK Swap curve has faced extreme movements. As more than 90% of IM is Swedish rates, which are highly correlated, this is expected to cover the most severe stresses relevant to Nasdaq Clearing’s exposures.</w:t>
      </w:r>
      <w:r w:rsidR="00F61540" w:rsidRPr="00210160">
        <w:rPr>
          <w:noProof w:val="0"/>
          <w:color w:val="000000" w:themeColor="text1"/>
        </w:rPr>
        <w:t xml:space="preserve"> Note that as equities and fixed income belong to the same clearing service, any scenario used for fixed income will also include the historically observed stresses for equities and vice versa.</w:t>
      </w:r>
    </w:p>
    <w:p w14:paraId="5F072D2C" w14:textId="7FA00786" w:rsidR="00E217E9" w:rsidRPr="00210160" w:rsidRDefault="00E217E9" w:rsidP="00E52EFB">
      <w:pPr>
        <w:pStyle w:val="BodyText"/>
        <w:rPr>
          <w:noProof w:val="0"/>
        </w:rPr>
      </w:pPr>
      <w:r w:rsidRPr="00210160">
        <w:rPr>
          <w:noProof w:val="0"/>
        </w:rPr>
        <w:t>In the table below, the historical events currently used by Nasdaq Clearing are displayed.</w:t>
      </w:r>
    </w:p>
    <w:p w14:paraId="315CD28B" w14:textId="7B0C6103" w:rsidR="00E217E9" w:rsidRPr="00210160" w:rsidRDefault="00E217E9" w:rsidP="00C34C06">
      <w:pPr>
        <w:pStyle w:val="Caption"/>
        <w:rPr>
          <w:lang w:val="en-US"/>
        </w:rPr>
      </w:pPr>
      <w:r w:rsidRPr="00210160">
        <w:rPr>
          <w:lang w:val="en-US"/>
        </w:rPr>
        <w:t xml:space="preserve">Table </w:t>
      </w:r>
      <w:r w:rsidRPr="00210160">
        <w:rPr>
          <w:lang w:val="en-US"/>
        </w:rPr>
        <w:fldChar w:fldCharType="begin"/>
      </w:r>
      <w:r w:rsidRPr="00210160">
        <w:rPr>
          <w:lang w:val="en-US"/>
        </w:rPr>
        <w:instrText xml:space="preserve"> SEQ Table \* ARABIC </w:instrText>
      </w:r>
      <w:r w:rsidRPr="00210160">
        <w:rPr>
          <w:lang w:val="en-US"/>
        </w:rPr>
        <w:fldChar w:fldCharType="separate"/>
      </w:r>
      <w:r w:rsidR="009A4B3A">
        <w:rPr>
          <w:noProof/>
          <w:lang w:val="en-US"/>
        </w:rPr>
        <w:t>2</w:t>
      </w:r>
      <w:r w:rsidRPr="00210160">
        <w:rPr>
          <w:lang w:val="en-US"/>
        </w:rPr>
        <w:fldChar w:fldCharType="end"/>
      </w:r>
      <w:r w:rsidR="00E52EFB" w:rsidRPr="00210160">
        <w:rPr>
          <w:lang w:val="en-US"/>
        </w:rPr>
        <w:t xml:space="preserve">: </w:t>
      </w:r>
      <w:r w:rsidRPr="00210160">
        <w:rPr>
          <w:lang w:val="en-US"/>
        </w:rPr>
        <w:t xml:space="preserve">Overview of historical events </w:t>
      </w:r>
    </w:p>
    <w:tbl>
      <w:tblPr>
        <w:tblStyle w:val="OWTable"/>
        <w:tblW w:w="5000" w:type="pct"/>
        <w:tblBorders>
          <w:bottom w:val="single" w:sz="2" w:space="0" w:color="808080" w:themeColor="background1" w:themeShade="80"/>
          <w:insideH w:val="single" w:sz="2" w:space="0" w:color="808080" w:themeColor="background1" w:themeShade="80"/>
        </w:tblBorders>
        <w:tblLook w:val="04A0" w:firstRow="1" w:lastRow="0" w:firstColumn="1" w:lastColumn="0" w:noHBand="0" w:noVBand="1"/>
      </w:tblPr>
      <w:tblGrid>
        <w:gridCol w:w="1572"/>
        <w:gridCol w:w="1382"/>
        <w:gridCol w:w="3592"/>
        <w:gridCol w:w="2480"/>
      </w:tblGrid>
      <w:tr w:rsidR="00E217E9" w:rsidRPr="00210160" w14:paraId="44C599B5" w14:textId="77777777" w:rsidTr="000E4155">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72" w:type="dxa"/>
            <w:shd w:val="clear" w:color="auto" w:fill="009EC2" w:themeFill="text2"/>
          </w:tcPr>
          <w:p w14:paraId="5105E501" w14:textId="77777777" w:rsidR="00E217E9" w:rsidRPr="00210160" w:rsidRDefault="00E217E9" w:rsidP="000E4155">
            <w:pPr>
              <w:pStyle w:val="TableText"/>
              <w:spacing w:before="0" w:after="0"/>
              <w:rPr>
                <w:color w:val="FFFFFF" w:themeColor="background1"/>
                <w:lang w:eastAsia="sv-SE"/>
              </w:rPr>
            </w:pPr>
            <w:r w:rsidRPr="00210160">
              <w:rPr>
                <w:color w:val="FFFFFF" w:themeColor="background1"/>
                <w:lang w:eastAsia="sv-SE"/>
              </w:rPr>
              <w:t>Asset class</w:t>
            </w:r>
          </w:p>
        </w:tc>
        <w:tc>
          <w:tcPr>
            <w:tcW w:w="1382" w:type="dxa"/>
            <w:shd w:val="clear" w:color="auto" w:fill="009EC2" w:themeFill="text2"/>
          </w:tcPr>
          <w:p w14:paraId="6A2F2E47" w14:textId="77777777" w:rsidR="00E217E9" w:rsidRPr="00210160" w:rsidRDefault="00E217E9" w:rsidP="000E4155">
            <w:pPr>
              <w:pStyle w:val="Table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lang w:eastAsia="sv-SE"/>
              </w:rPr>
            </w:pPr>
            <w:r w:rsidRPr="00210160">
              <w:rPr>
                <w:color w:val="FFFFFF" w:themeColor="background1"/>
                <w:lang w:eastAsia="sv-SE"/>
              </w:rPr>
              <w:t>Date</w:t>
            </w:r>
          </w:p>
        </w:tc>
        <w:tc>
          <w:tcPr>
            <w:tcW w:w="3592" w:type="dxa"/>
            <w:shd w:val="clear" w:color="auto" w:fill="009EC2" w:themeFill="text2"/>
          </w:tcPr>
          <w:p w14:paraId="2F0F4E9C" w14:textId="77777777" w:rsidR="00E217E9" w:rsidRPr="00210160" w:rsidRDefault="00E217E9" w:rsidP="000E4155">
            <w:pPr>
              <w:pStyle w:val="Table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lang w:eastAsia="sv-SE"/>
              </w:rPr>
            </w:pPr>
            <w:r w:rsidRPr="00210160">
              <w:rPr>
                <w:color w:val="FFFFFF" w:themeColor="background1"/>
                <w:lang w:eastAsia="sv-SE"/>
              </w:rPr>
              <w:t>Event</w:t>
            </w:r>
          </w:p>
        </w:tc>
        <w:tc>
          <w:tcPr>
            <w:tcW w:w="2480" w:type="dxa"/>
            <w:shd w:val="clear" w:color="auto" w:fill="009EC2" w:themeFill="text2"/>
          </w:tcPr>
          <w:p w14:paraId="794770F7" w14:textId="77777777" w:rsidR="00E217E9" w:rsidRPr="00210160" w:rsidRDefault="00E217E9" w:rsidP="000E4155">
            <w:pPr>
              <w:pStyle w:val="Table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lang w:eastAsia="sv-SE"/>
              </w:rPr>
            </w:pPr>
            <w:r w:rsidRPr="00210160">
              <w:rPr>
                <w:color w:val="FFFFFF" w:themeColor="background1"/>
                <w:lang w:eastAsia="sv-SE"/>
              </w:rPr>
              <w:t>Market movement</w:t>
            </w:r>
          </w:p>
        </w:tc>
      </w:tr>
      <w:tr w:rsidR="005D2083" w:rsidRPr="00210160" w14:paraId="3ECD4B41"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val="restart"/>
          </w:tcPr>
          <w:p w14:paraId="6BA696D5" w14:textId="77777777" w:rsidR="005D2083" w:rsidRPr="00210160" w:rsidRDefault="005D2083" w:rsidP="000E4155">
            <w:pPr>
              <w:pStyle w:val="TableText"/>
              <w:spacing w:before="0" w:after="0"/>
              <w:rPr>
                <w:color w:val="000000" w:themeColor="text1"/>
                <w:lang w:eastAsia="sv-SE"/>
              </w:rPr>
            </w:pPr>
            <w:r w:rsidRPr="00210160">
              <w:rPr>
                <w:color w:val="000000" w:themeColor="text1"/>
                <w:lang w:eastAsia="sv-SE"/>
              </w:rPr>
              <w:t>Equities</w:t>
            </w:r>
          </w:p>
        </w:tc>
        <w:tc>
          <w:tcPr>
            <w:tcW w:w="1382" w:type="dxa"/>
            <w:vAlign w:val="center"/>
          </w:tcPr>
          <w:p w14:paraId="70F560A9" w14:textId="318237DC"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1987-10-29</w:t>
            </w:r>
            <w:r>
              <w:rPr>
                <w:rStyle w:val="FootnoteReference"/>
                <w:color w:val="000000" w:themeColor="text1"/>
              </w:rPr>
              <w:footnoteReference w:id="1"/>
            </w:r>
          </w:p>
        </w:tc>
        <w:tc>
          <w:tcPr>
            <w:tcW w:w="3592" w:type="dxa"/>
            <w:vAlign w:val="center"/>
          </w:tcPr>
          <w:p w14:paraId="108A3A32"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Stock market crash</w:t>
            </w:r>
          </w:p>
        </w:tc>
        <w:tc>
          <w:tcPr>
            <w:tcW w:w="2480" w:type="dxa"/>
          </w:tcPr>
          <w:p w14:paraId="21E73AF3" w14:textId="775E9D30"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OMXS30</w:t>
            </w:r>
            <w:r w:rsidRPr="00210160">
              <w:rPr>
                <w:color w:val="000000" w:themeColor="text1"/>
              </w:rPr>
              <w:t xml:space="preserve"> down</w:t>
            </w:r>
          </w:p>
        </w:tc>
      </w:tr>
      <w:tr w:rsidR="005D2083" w:rsidRPr="00210160" w14:paraId="712AD17E" w14:textId="77777777" w:rsidTr="000E4155">
        <w:trPr>
          <w:trHeight w:val="274"/>
        </w:trPr>
        <w:tc>
          <w:tcPr>
            <w:cnfStyle w:val="001000000000" w:firstRow="0" w:lastRow="0" w:firstColumn="1" w:lastColumn="0" w:oddVBand="0" w:evenVBand="0" w:oddHBand="0" w:evenHBand="0" w:firstRowFirstColumn="0" w:firstRowLastColumn="0" w:lastRowFirstColumn="0" w:lastRowLastColumn="0"/>
            <w:tcW w:w="1572" w:type="dxa"/>
            <w:vMerge/>
          </w:tcPr>
          <w:p w14:paraId="64CCC152"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1E215649"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1998-10-12</w:t>
            </w:r>
          </w:p>
        </w:tc>
        <w:tc>
          <w:tcPr>
            <w:tcW w:w="3592" w:type="dxa"/>
            <w:vAlign w:val="center"/>
          </w:tcPr>
          <w:p w14:paraId="7FF7ECC8"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Recovery from Russian crisis</w:t>
            </w:r>
          </w:p>
        </w:tc>
        <w:tc>
          <w:tcPr>
            <w:tcW w:w="2480" w:type="dxa"/>
          </w:tcPr>
          <w:p w14:paraId="6543B2AF" w14:textId="22E5C61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Pr>
                <w:color w:val="000000" w:themeColor="text1"/>
              </w:rPr>
              <w:t xml:space="preserve">OMXS30 </w:t>
            </w:r>
            <w:r w:rsidRPr="00210160">
              <w:rPr>
                <w:color w:val="000000" w:themeColor="text1"/>
              </w:rPr>
              <w:t>up</w:t>
            </w:r>
          </w:p>
        </w:tc>
      </w:tr>
      <w:tr w:rsidR="005D2083" w:rsidRPr="00210160" w14:paraId="08C56CAA"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5D85170F"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55D28A51" w14:textId="63ED18D9"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592" w:type="dxa"/>
            <w:vAlign w:val="center"/>
          </w:tcPr>
          <w:p w14:paraId="09112689" w14:textId="19DF3B63"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80" w:type="dxa"/>
          </w:tcPr>
          <w:p w14:paraId="720018D4" w14:textId="23F616CA"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5D2083" w:rsidRPr="00210160" w14:paraId="7EB9D38A" w14:textId="77777777" w:rsidTr="000E4155">
        <w:trPr>
          <w:trHeight w:val="274"/>
        </w:trPr>
        <w:tc>
          <w:tcPr>
            <w:cnfStyle w:val="001000000000" w:firstRow="0" w:lastRow="0" w:firstColumn="1" w:lastColumn="0" w:oddVBand="0" w:evenVBand="0" w:oddHBand="0" w:evenHBand="0" w:firstRowFirstColumn="0" w:firstRowLastColumn="0" w:lastRowFirstColumn="0" w:lastRowLastColumn="0"/>
            <w:tcW w:w="1572" w:type="dxa"/>
            <w:vMerge/>
          </w:tcPr>
          <w:p w14:paraId="12B3BA86"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140761F3"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2008-12-09</w:t>
            </w:r>
          </w:p>
        </w:tc>
        <w:tc>
          <w:tcPr>
            <w:tcW w:w="3592" w:type="dxa"/>
            <w:vAlign w:val="center"/>
          </w:tcPr>
          <w:p w14:paraId="7A4574C0"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rPr>
              <w:t>Post Lehman unrest</w:t>
            </w:r>
          </w:p>
        </w:tc>
        <w:tc>
          <w:tcPr>
            <w:tcW w:w="2480" w:type="dxa"/>
          </w:tcPr>
          <w:p w14:paraId="559CE2E8" w14:textId="32D50459"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OMXS30</w:t>
            </w:r>
            <w:r w:rsidRPr="00210160">
              <w:rPr>
                <w:color w:val="000000" w:themeColor="text1"/>
              </w:rPr>
              <w:t xml:space="preserve"> up</w:t>
            </w:r>
          </w:p>
        </w:tc>
      </w:tr>
      <w:tr w:rsidR="005D2083" w:rsidRPr="00210160" w14:paraId="23EB852D" w14:textId="77777777" w:rsidTr="000E4155">
        <w:trPr>
          <w:trHeight w:val="274"/>
        </w:trPr>
        <w:tc>
          <w:tcPr>
            <w:cnfStyle w:val="001000000000" w:firstRow="0" w:lastRow="0" w:firstColumn="1" w:lastColumn="0" w:oddVBand="0" w:evenVBand="0" w:oddHBand="0" w:evenHBand="0" w:firstRowFirstColumn="0" w:firstRowLastColumn="0" w:lastRowFirstColumn="0" w:lastRowLastColumn="0"/>
            <w:tcW w:w="1572" w:type="dxa"/>
            <w:vMerge/>
          </w:tcPr>
          <w:p w14:paraId="6E0B2CFF" w14:textId="77777777" w:rsidR="005D2083" w:rsidRPr="00210160" w:rsidRDefault="005D2083" w:rsidP="000E4155">
            <w:pPr>
              <w:pStyle w:val="TableText"/>
              <w:spacing w:before="0" w:after="0"/>
              <w:rPr>
                <w:color w:val="000000" w:themeColor="text1"/>
                <w:lang w:eastAsia="sv-SE"/>
              </w:rPr>
            </w:pPr>
          </w:p>
        </w:tc>
        <w:tc>
          <w:tcPr>
            <w:tcW w:w="1382" w:type="dxa"/>
          </w:tcPr>
          <w:p w14:paraId="3DCA1C70" w14:textId="7E344069"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t>2020-03-12</w:t>
            </w:r>
          </w:p>
        </w:tc>
        <w:tc>
          <w:tcPr>
            <w:tcW w:w="3592" w:type="dxa"/>
          </w:tcPr>
          <w:p w14:paraId="0DB1BA73" w14:textId="2411A490"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t>COVID-19 outbreak</w:t>
            </w:r>
          </w:p>
        </w:tc>
        <w:tc>
          <w:tcPr>
            <w:tcW w:w="2480" w:type="dxa"/>
          </w:tcPr>
          <w:p w14:paraId="764A855F" w14:textId="7CF13FED"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t xml:space="preserve">OMXS30 </w:t>
            </w:r>
            <w:r w:rsidRPr="00210160">
              <w:t>down</w:t>
            </w:r>
          </w:p>
        </w:tc>
      </w:tr>
      <w:tr w:rsidR="005D2083" w:rsidRPr="00210160" w14:paraId="18307900" w14:textId="77777777" w:rsidTr="000E4155">
        <w:trPr>
          <w:trHeight w:val="251"/>
        </w:trPr>
        <w:tc>
          <w:tcPr>
            <w:cnfStyle w:val="001000000000" w:firstRow="0" w:lastRow="0" w:firstColumn="1" w:lastColumn="0" w:oddVBand="0" w:evenVBand="0" w:oddHBand="0" w:evenHBand="0" w:firstRowFirstColumn="0" w:firstRowLastColumn="0" w:lastRowFirstColumn="0" w:lastRowLastColumn="0"/>
            <w:tcW w:w="1572" w:type="dxa"/>
            <w:vMerge/>
          </w:tcPr>
          <w:p w14:paraId="5745F45E"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31BCA05A" w14:textId="1934AA42"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2020-03-25</w:t>
            </w:r>
          </w:p>
        </w:tc>
        <w:tc>
          <w:tcPr>
            <w:tcW w:w="3592" w:type="dxa"/>
            <w:vAlign w:val="center"/>
          </w:tcPr>
          <w:p w14:paraId="2C606D3F" w14:textId="49096D00"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COVID-19 recovery</w:t>
            </w:r>
          </w:p>
        </w:tc>
        <w:tc>
          <w:tcPr>
            <w:tcW w:w="2480" w:type="dxa"/>
          </w:tcPr>
          <w:p w14:paraId="0A4BC77B" w14:textId="337B0B64"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OMXS30 up</w:t>
            </w:r>
          </w:p>
        </w:tc>
      </w:tr>
      <w:tr w:rsidR="005D2083" w:rsidRPr="00210160" w14:paraId="1722105F" w14:textId="77777777" w:rsidTr="000E4155">
        <w:trPr>
          <w:trHeight w:val="251"/>
        </w:trPr>
        <w:tc>
          <w:tcPr>
            <w:cnfStyle w:val="001000000000" w:firstRow="0" w:lastRow="0" w:firstColumn="1" w:lastColumn="0" w:oddVBand="0" w:evenVBand="0" w:oddHBand="0" w:evenHBand="0" w:firstRowFirstColumn="0" w:firstRowLastColumn="0" w:lastRowFirstColumn="0" w:lastRowLastColumn="0"/>
            <w:tcW w:w="1572" w:type="dxa"/>
            <w:vMerge/>
          </w:tcPr>
          <w:p w14:paraId="0E960E03"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2DA42FFB" w14:textId="3124197D"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2022-03-04</w:t>
            </w:r>
          </w:p>
        </w:tc>
        <w:tc>
          <w:tcPr>
            <w:tcW w:w="3592" w:type="dxa"/>
            <w:vAlign w:val="center"/>
          </w:tcPr>
          <w:p w14:paraId="0ED16E14" w14:textId="2A1D0986"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Ukraine War</w:t>
            </w:r>
          </w:p>
        </w:tc>
        <w:tc>
          <w:tcPr>
            <w:tcW w:w="2480" w:type="dxa"/>
          </w:tcPr>
          <w:p w14:paraId="1378AA18" w14:textId="0F05F803"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OMXS30 down</w:t>
            </w:r>
          </w:p>
        </w:tc>
      </w:tr>
      <w:tr w:rsidR="005D2083" w:rsidRPr="00210160" w14:paraId="3356375F" w14:textId="77777777" w:rsidTr="000E4155">
        <w:trPr>
          <w:trHeight w:val="251"/>
        </w:trPr>
        <w:tc>
          <w:tcPr>
            <w:cnfStyle w:val="001000000000" w:firstRow="0" w:lastRow="0" w:firstColumn="1" w:lastColumn="0" w:oddVBand="0" w:evenVBand="0" w:oddHBand="0" w:evenHBand="0" w:firstRowFirstColumn="0" w:firstRowLastColumn="0" w:lastRowFirstColumn="0" w:lastRowLastColumn="0"/>
            <w:tcW w:w="1572" w:type="dxa"/>
            <w:vMerge/>
          </w:tcPr>
          <w:p w14:paraId="0E22FD06"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6F518DF8" w14:textId="32D88B58"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2022-07-19</w:t>
            </w:r>
          </w:p>
        </w:tc>
        <w:tc>
          <w:tcPr>
            <w:tcW w:w="3592" w:type="dxa"/>
            <w:vAlign w:val="center"/>
          </w:tcPr>
          <w:p w14:paraId="26C0452D" w14:textId="05BCE45E"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ECB rate hike</w:t>
            </w:r>
          </w:p>
        </w:tc>
        <w:tc>
          <w:tcPr>
            <w:tcW w:w="2480" w:type="dxa"/>
          </w:tcPr>
          <w:p w14:paraId="392AA059" w14:textId="6CEFF05C"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OMXS30 up</w:t>
            </w:r>
          </w:p>
        </w:tc>
      </w:tr>
      <w:tr w:rsidR="005D2083" w:rsidRPr="00210160" w14:paraId="27667CCD" w14:textId="77777777" w:rsidTr="000E4155">
        <w:trPr>
          <w:trHeight w:val="251"/>
        </w:trPr>
        <w:tc>
          <w:tcPr>
            <w:cnfStyle w:val="001000000000" w:firstRow="0" w:lastRow="0" w:firstColumn="1" w:lastColumn="0" w:oddVBand="0" w:evenVBand="0" w:oddHBand="0" w:evenHBand="0" w:firstRowFirstColumn="0" w:firstRowLastColumn="0" w:lastRowFirstColumn="0" w:lastRowLastColumn="0"/>
            <w:tcW w:w="1572" w:type="dxa"/>
            <w:vMerge w:val="restart"/>
          </w:tcPr>
          <w:p w14:paraId="4554EBCE" w14:textId="77777777" w:rsidR="005D2083" w:rsidRPr="00210160" w:rsidRDefault="005D2083" w:rsidP="000E4155">
            <w:pPr>
              <w:pStyle w:val="TableText"/>
              <w:spacing w:before="0" w:after="0"/>
              <w:rPr>
                <w:color w:val="000000" w:themeColor="text1"/>
                <w:lang w:eastAsia="sv-SE"/>
              </w:rPr>
            </w:pPr>
            <w:r w:rsidRPr="00210160">
              <w:rPr>
                <w:color w:val="000000" w:themeColor="text1"/>
                <w:lang w:eastAsia="sv-SE"/>
              </w:rPr>
              <w:t>Fixed income</w:t>
            </w:r>
          </w:p>
        </w:tc>
        <w:tc>
          <w:tcPr>
            <w:tcW w:w="1382" w:type="dxa"/>
            <w:vAlign w:val="center"/>
          </w:tcPr>
          <w:p w14:paraId="65E712CD" w14:textId="4E2E5265"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p>
        </w:tc>
        <w:tc>
          <w:tcPr>
            <w:tcW w:w="3592" w:type="dxa"/>
            <w:vAlign w:val="center"/>
          </w:tcPr>
          <w:p w14:paraId="6CC941EC" w14:textId="621BCABA"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p>
        </w:tc>
        <w:tc>
          <w:tcPr>
            <w:tcW w:w="2480" w:type="dxa"/>
          </w:tcPr>
          <w:p w14:paraId="7FF2F9CF" w14:textId="5F3D19D6"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5D2083" w:rsidRPr="00210160" w14:paraId="4A13EA8A" w14:textId="77777777" w:rsidTr="000E4155">
        <w:trPr>
          <w:trHeight w:val="274"/>
        </w:trPr>
        <w:tc>
          <w:tcPr>
            <w:cnfStyle w:val="001000000000" w:firstRow="0" w:lastRow="0" w:firstColumn="1" w:lastColumn="0" w:oddVBand="0" w:evenVBand="0" w:oddHBand="0" w:evenHBand="0" w:firstRowFirstColumn="0" w:firstRowLastColumn="0" w:lastRowFirstColumn="0" w:lastRowLastColumn="0"/>
            <w:tcW w:w="1572" w:type="dxa"/>
            <w:vMerge/>
          </w:tcPr>
          <w:p w14:paraId="484D5599"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59D99E61" w14:textId="16B09102"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lang w:eastAsia="sv-SE"/>
              </w:rPr>
              <w:t>1994-08-11</w:t>
            </w:r>
          </w:p>
        </w:tc>
        <w:tc>
          <w:tcPr>
            <w:tcW w:w="3592" w:type="dxa"/>
            <w:vAlign w:val="center"/>
          </w:tcPr>
          <w:p w14:paraId="0C9DDA3D" w14:textId="0EB7C4CF"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rPr>
              <w:t>Swedish financial crisis</w:t>
            </w:r>
          </w:p>
        </w:tc>
        <w:tc>
          <w:tcPr>
            <w:tcW w:w="2480" w:type="dxa"/>
          </w:tcPr>
          <w:p w14:paraId="1ECA1853" w14:textId="4614FF88"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rPr>
              <w:t xml:space="preserve"> </w:t>
            </w:r>
            <w:r>
              <w:rPr>
                <w:color w:val="000000" w:themeColor="text1"/>
              </w:rPr>
              <w:t xml:space="preserve">SWAP SEK </w:t>
            </w:r>
            <w:r w:rsidRPr="00210160">
              <w:rPr>
                <w:color w:val="000000" w:themeColor="text1"/>
              </w:rPr>
              <w:t>up</w:t>
            </w:r>
          </w:p>
        </w:tc>
      </w:tr>
      <w:tr w:rsidR="005D2083" w:rsidRPr="00210160" w14:paraId="76F48795" w14:textId="77777777" w:rsidTr="000E4155">
        <w:trPr>
          <w:trHeight w:val="274"/>
        </w:trPr>
        <w:tc>
          <w:tcPr>
            <w:cnfStyle w:val="001000000000" w:firstRow="0" w:lastRow="0" w:firstColumn="1" w:lastColumn="0" w:oddVBand="0" w:evenVBand="0" w:oddHBand="0" w:evenHBand="0" w:firstRowFirstColumn="0" w:firstRowLastColumn="0" w:lastRowFirstColumn="0" w:lastRowLastColumn="0"/>
            <w:tcW w:w="1572" w:type="dxa"/>
            <w:vMerge/>
          </w:tcPr>
          <w:p w14:paraId="7919876C"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636D2B86" w14:textId="6F826976"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rPr>
              <w:t>1994-08-22</w:t>
            </w:r>
          </w:p>
        </w:tc>
        <w:tc>
          <w:tcPr>
            <w:tcW w:w="3592" w:type="dxa"/>
            <w:vAlign w:val="center"/>
          </w:tcPr>
          <w:p w14:paraId="6E2BA618" w14:textId="7914BE0A"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rPr>
              <w:t>Swedish financial crisis unrest</w:t>
            </w:r>
          </w:p>
        </w:tc>
        <w:tc>
          <w:tcPr>
            <w:tcW w:w="2480" w:type="dxa"/>
          </w:tcPr>
          <w:p w14:paraId="1B8FCE92" w14:textId="2E9BE79D"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210160">
              <w:rPr>
                <w:color w:val="000000" w:themeColor="text1"/>
              </w:rPr>
              <w:t xml:space="preserve"> </w:t>
            </w:r>
            <w:r>
              <w:rPr>
                <w:color w:val="000000" w:themeColor="text1"/>
              </w:rPr>
              <w:t xml:space="preserve">SWAP SEK </w:t>
            </w:r>
            <w:r w:rsidRPr="00210160">
              <w:rPr>
                <w:color w:val="000000" w:themeColor="text1"/>
              </w:rPr>
              <w:t xml:space="preserve">down </w:t>
            </w:r>
          </w:p>
        </w:tc>
      </w:tr>
      <w:tr w:rsidR="005D2083" w:rsidRPr="00210160" w14:paraId="058A1EBD" w14:textId="77777777" w:rsidTr="000E4155">
        <w:trPr>
          <w:trHeight w:val="274"/>
        </w:trPr>
        <w:tc>
          <w:tcPr>
            <w:cnfStyle w:val="001000000000" w:firstRow="0" w:lastRow="0" w:firstColumn="1" w:lastColumn="0" w:oddVBand="0" w:evenVBand="0" w:oddHBand="0" w:evenHBand="0" w:firstRowFirstColumn="0" w:firstRowLastColumn="0" w:lastRowFirstColumn="0" w:lastRowLastColumn="0"/>
            <w:tcW w:w="1572" w:type="dxa"/>
            <w:vMerge/>
          </w:tcPr>
          <w:p w14:paraId="21CE8F07"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0C51CF1F" w14:textId="2E113865"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p>
        </w:tc>
        <w:tc>
          <w:tcPr>
            <w:tcW w:w="3592" w:type="dxa"/>
            <w:vAlign w:val="center"/>
          </w:tcPr>
          <w:p w14:paraId="398387FE" w14:textId="65AD43AB"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p>
        </w:tc>
        <w:tc>
          <w:tcPr>
            <w:tcW w:w="2480" w:type="dxa"/>
          </w:tcPr>
          <w:p w14:paraId="0604E9CD" w14:textId="4309F42D"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5D2083" w:rsidRPr="00210160" w14:paraId="244A30C2"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1EC9F428"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44A85E8D" w14:textId="6FE94241"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592" w:type="dxa"/>
            <w:vAlign w:val="center"/>
          </w:tcPr>
          <w:p w14:paraId="0A400DA9" w14:textId="629FA4A2"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80" w:type="dxa"/>
          </w:tcPr>
          <w:p w14:paraId="5658B5FB" w14:textId="217BBFC8"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5D2083" w:rsidRPr="00210160" w14:paraId="61372BF8"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4514EE71"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4F0C4CE7"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2012-06-07</w:t>
            </w:r>
          </w:p>
        </w:tc>
        <w:tc>
          <w:tcPr>
            <w:tcW w:w="3592" w:type="dxa"/>
            <w:vAlign w:val="center"/>
          </w:tcPr>
          <w:p w14:paraId="25EF0A51" w14:textId="7777777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sidRPr="00210160">
              <w:rPr>
                <w:color w:val="000000" w:themeColor="text1"/>
              </w:rPr>
              <w:t>Euro crises aftermath</w:t>
            </w:r>
          </w:p>
        </w:tc>
        <w:tc>
          <w:tcPr>
            <w:tcW w:w="2480" w:type="dxa"/>
          </w:tcPr>
          <w:p w14:paraId="5E6B9B71" w14:textId="79EC9451"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lang w:eastAsia="sv-SE"/>
              </w:rPr>
            </w:pPr>
            <w:r>
              <w:rPr>
                <w:color w:val="000000" w:themeColor="text1"/>
              </w:rPr>
              <w:t>SWAP SEK</w:t>
            </w:r>
            <w:r w:rsidRPr="00210160">
              <w:rPr>
                <w:color w:val="000000" w:themeColor="text1"/>
              </w:rPr>
              <w:t xml:space="preserve"> up</w:t>
            </w:r>
          </w:p>
        </w:tc>
      </w:tr>
      <w:tr w:rsidR="005D2083" w:rsidRPr="00210160" w14:paraId="1A6EAD3B"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2A03F437"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74BCB273" w14:textId="1BC473CE"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2020-03-13</w:t>
            </w:r>
          </w:p>
        </w:tc>
        <w:tc>
          <w:tcPr>
            <w:tcW w:w="3592" w:type="dxa"/>
            <w:vAlign w:val="center"/>
          </w:tcPr>
          <w:p w14:paraId="0616E921" w14:textId="2697879E"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5D2083">
              <w:rPr>
                <w:color w:val="000000" w:themeColor="text1"/>
              </w:rPr>
              <w:t>COVID-19 outbreak</w:t>
            </w:r>
          </w:p>
        </w:tc>
        <w:tc>
          <w:tcPr>
            <w:tcW w:w="2480" w:type="dxa"/>
          </w:tcPr>
          <w:p w14:paraId="37FA5A80" w14:textId="369579F6"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005D2083">
              <w:rPr>
                <w:color w:val="000000" w:themeColor="text1"/>
              </w:rPr>
              <w:t>SWAP SEK up</w:t>
            </w:r>
          </w:p>
        </w:tc>
      </w:tr>
      <w:tr w:rsidR="005D2083" w:rsidRPr="00210160" w14:paraId="0C069A22"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7547D51F"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5FC7F946" w14:textId="620A8669"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2020-03-18</w:t>
            </w:r>
          </w:p>
        </w:tc>
        <w:tc>
          <w:tcPr>
            <w:tcW w:w="3592" w:type="dxa"/>
            <w:vAlign w:val="center"/>
          </w:tcPr>
          <w:p w14:paraId="15B2EBBE" w14:textId="666C74CC"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COVID-19 recovery</w:t>
            </w:r>
          </w:p>
        </w:tc>
        <w:tc>
          <w:tcPr>
            <w:tcW w:w="2480" w:type="dxa"/>
          </w:tcPr>
          <w:p w14:paraId="0C0A8E6D" w14:textId="25F76446"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SWAP SEK up</w:t>
            </w:r>
          </w:p>
        </w:tc>
      </w:tr>
      <w:tr w:rsidR="005D2083" w:rsidRPr="00210160" w14:paraId="5C00047D"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3F0CAE73"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648D5116" w14:textId="184F7E20"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2022-03-01</w:t>
            </w:r>
          </w:p>
        </w:tc>
        <w:tc>
          <w:tcPr>
            <w:tcW w:w="3592" w:type="dxa"/>
            <w:vAlign w:val="center"/>
          </w:tcPr>
          <w:p w14:paraId="1C6C94A2" w14:textId="4FCE82A0"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Ukraine War</w:t>
            </w:r>
          </w:p>
        </w:tc>
        <w:tc>
          <w:tcPr>
            <w:tcW w:w="2480" w:type="dxa"/>
          </w:tcPr>
          <w:p w14:paraId="0C8EC3F3" w14:textId="14142797"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SWAP SEK down</w:t>
            </w:r>
          </w:p>
        </w:tc>
      </w:tr>
      <w:tr w:rsidR="005D2083" w:rsidRPr="00210160" w14:paraId="481DC970" w14:textId="77777777" w:rsidTr="000E4155">
        <w:trPr>
          <w:trHeight w:val="262"/>
        </w:trPr>
        <w:tc>
          <w:tcPr>
            <w:cnfStyle w:val="001000000000" w:firstRow="0" w:lastRow="0" w:firstColumn="1" w:lastColumn="0" w:oddVBand="0" w:evenVBand="0" w:oddHBand="0" w:evenHBand="0" w:firstRowFirstColumn="0" w:firstRowLastColumn="0" w:lastRowFirstColumn="0" w:lastRowLastColumn="0"/>
            <w:tcW w:w="1572" w:type="dxa"/>
            <w:vMerge/>
          </w:tcPr>
          <w:p w14:paraId="0249D825" w14:textId="77777777" w:rsidR="005D2083" w:rsidRPr="00210160" w:rsidRDefault="005D2083" w:rsidP="000E4155">
            <w:pPr>
              <w:pStyle w:val="TableText"/>
              <w:spacing w:before="0" w:after="0"/>
              <w:rPr>
                <w:color w:val="000000" w:themeColor="text1"/>
                <w:lang w:eastAsia="sv-SE"/>
              </w:rPr>
            </w:pPr>
          </w:p>
        </w:tc>
        <w:tc>
          <w:tcPr>
            <w:tcW w:w="1382" w:type="dxa"/>
            <w:vAlign w:val="center"/>
          </w:tcPr>
          <w:p w14:paraId="65F5BAF6" w14:textId="2AF00A82"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2022-07-22</w:t>
            </w:r>
          </w:p>
        </w:tc>
        <w:tc>
          <w:tcPr>
            <w:tcW w:w="3592" w:type="dxa"/>
            <w:vAlign w:val="center"/>
          </w:tcPr>
          <w:p w14:paraId="1F126010" w14:textId="17D60785"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ECB rate hike</w:t>
            </w:r>
          </w:p>
        </w:tc>
        <w:tc>
          <w:tcPr>
            <w:tcW w:w="2480" w:type="dxa"/>
          </w:tcPr>
          <w:p w14:paraId="1EFC177D" w14:textId="65B394AD" w:rsidR="005D2083" w:rsidRPr="00210160" w:rsidRDefault="005D2083" w:rsidP="000E4155">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SWAP SEK up</w:t>
            </w:r>
          </w:p>
        </w:tc>
      </w:tr>
    </w:tbl>
    <w:p w14:paraId="41FA9123" w14:textId="77777777" w:rsidR="00E217E9" w:rsidRPr="00210160" w:rsidRDefault="00E217E9" w:rsidP="00C45324">
      <w:pPr>
        <w:pStyle w:val="BodyText"/>
        <w:rPr>
          <w:noProof w:val="0"/>
        </w:rPr>
      </w:pPr>
      <w:r w:rsidRPr="00210160">
        <w:rPr>
          <w:noProof w:val="0"/>
        </w:rPr>
        <w:lastRenderedPageBreak/>
        <w:t>Nasdaq Clearing regularly reviews the set of historical events and if any new stress events should be included.</w:t>
      </w:r>
    </w:p>
    <w:p w14:paraId="1927B49B" w14:textId="77777777" w:rsidR="00E217E9" w:rsidRPr="00210160" w:rsidRDefault="00E217E9" w:rsidP="00CF2988">
      <w:pPr>
        <w:pStyle w:val="Heading4"/>
      </w:pPr>
      <w:r w:rsidRPr="00210160">
        <w:t>Stress level calibration</w:t>
      </w:r>
    </w:p>
    <w:p w14:paraId="35713486" w14:textId="7D0CEDC9" w:rsidR="005D2083" w:rsidRPr="00210160" w:rsidRDefault="00E217E9" w:rsidP="005D2083">
      <w:pPr>
        <w:pStyle w:val="BodyText"/>
        <w:rPr>
          <w:noProof w:val="0"/>
        </w:rPr>
      </w:pPr>
      <w:r w:rsidRPr="00210160">
        <w:rPr>
          <w:noProof w:val="0"/>
        </w:rPr>
        <w:t>The historical stress shock is calibrated for each risk factor separately</w:t>
      </w:r>
      <w:r w:rsidR="00F069E6" w:rsidRPr="00210160">
        <w:rPr>
          <w:noProof w:val="0"/>
        </w:rPr>
        <w:t>, based on the date set given the observed stress in the main risk factor</w:t>
      </w:r>
      <w:r w:rsidR="00D97AEC">
        <w:rPr>
          <w:noProof w:val="0"/>
        </w:rPr>
        <w:t xml:space="preserve"> of the asset class</w:t>
      </w:r>
      <w:r w:rsidRPr="00210160">
        <w:rPr>
          <w:noProof w:val="0"/>
        </w:rPr>
        <w:t>. As there may be idiosyncratic differences between different risk factors affecting the exact date for which the stress is observed, a range of dates around the specific event date is considered</w:t>
      </w:r>
      <w:r w:rsidR="00F61540" w:rsidRPr="00210160">
        <w:rPr>
          <w:noProof w:val="0"/>
        </w:rPr>
        <w:t xml:space="preserve"> (for other risk factors than the main risk factor)</w:t>
      </w:r>
      <w:r w:rsidRPr="00210160">
        <w:rPr>
          <w:noProof w:val="0"/>
        </w:rPr>
        <w:t xml:space="preserve">. Specifically, the observation with the greatest stress </w:t>
      </w:r>
      <w:r w:rsidR="005D2083">
        <w:rPr>
          <w:noProof w:val="0"/>
        </w:rPr>
        <w:t xml:space="preserve">within a </w:t>
      </w:r>
      <w:r w:rsidR="00AC0D1C" w:rsidRPr="00210160">
        <w:rPr>
          <w:noProof w:val="0"/>
        </w:rPr>
        <w:t>seven-day</w:t>
      </w:r>
      <w:r w:rsidR="00F069E6" w:rsidRPr="00210160">
        <w:rPr>
          <w:noProof w:val="0"/>
        </w:rPr>
        <w:t xml:space="preserve"> </w:t>
      </w:r>
      <w:r w:rsidR="005D2083">
        <w:rPr>
          <w:noProof w:val="0"/>
        </w:rPr>
        <w:t xml:space="preserve">window, </w:t>
      </w:r>
      <w:proofErr w:type="spellStart"/>
      <w:r w:rsidR="005D2083">
        <w:rPr>
          <w:noProof w:val="0"/>
        </w:rPr>
        <w:t>i.e</w:t>
      </w:r>
      <w:proofErr w:type="spellEnd"/>
      <w:r w:rsidR="005D2083">
        <w:rPr>
          <w:noProof w:val="0"/>
        </w:rPr>
        <w:t xml:space="preserve"> +/-3 days </w:t>
      </w:r>
      <w:r w:rsidR="00F069E6" w:rsidRPr="00210160">
        <w:rPr>
          <w:noProof w:val="0"/>
        </w:rPr>
        <w:t>before</w:t>
      </w:r>
      <w:r w:rsidR="005D2083">
        <w:rPr>
          <w:noProof w:val="0"/>
        </w:rPr>
        <w:t>/</w:t>
      </w:r>
      <w:r w:rsidR="00F069E6" w:rsidRPr="00210160">
        <w:rPr>
          <w:noProof w:val="0"/>
        </w:rPr>
        <w:t>after</w:t>
      </w:r>
      <w:r w:rsidRPr="00210160">
        <w:rPr>
          <w:noProof w:val="0"/>
        </w:rPr>
        <w:t xml:space="preserve"> the event reference date</w:t>
      </w:r>
      <w:r w:rsidR="005D2083">
        <w:rPr>
          <w:noProof w:val="0"/>
        </w:rPr>
        <w:t>,</w:t>
      </w:r>
      <w:r w:rsidRPr="00210160">
        <w:rPr>
          <w:noProof w:val="0"/>
        </w:rPr>
        <w:t xml:space="preserve"> is used. </w:t>
      </w:r>
      <w:r w:rsidR="005D2083">
        <w:rPr>
          <w:noProof w:val="0"/>
        </w:rPr>
        <w:t>To align with the generally accepted view of a historical scenario being a “replay” of an historical event, t</w:t>
      </w:r>
      <w:r w:rsidR="005D2083" w:rsidRPr="00210160">
        <w:rPr>
          <w:noProof w:val="0"/>
        </w:rPr>
        <w:t>he direction of the stress</w:t>
      </w:r>
      <w:r w:rsidR="005D2083">
        <w:rPr>
          <w:noProof w:val="0"/>
        </w:rPr>
        <w:t xml:space="preserve"> to each risk factor</w:t>
      </w:r>
      <w:r w:rsidR="005D2083" w:rsidRPr="00210160">
        <w:rPr>
          <w:noProof w:val="0"/>
        </w:rPr>
        <w:t xml:space="preserve"> is </w:t>
      </w:r>
      <w:r w:rsidR="005D2083">
        <w:rPr>
          <w:noProof w:val="0"/>
        </w:rPr>
        <w:t>not enforced</w:t>
      </w:r>
      <w:r w:rsidR="005D2083" w:rsidRPr="00210160">
        <w:rPr>
          <w:noProof w:val="0"/>
        </w:rPr>
        <w:t xml:space="preserve">, </w:t>
      </w:r>
      <w:r w:rsidR="005D2083">
        <w:rPr>
          <w:noProof w:val="0"/>
        </w:rPr>
        <w:t xml:space="preserve">meaning </w:t>
      </w:r>
      <w:r w:rsidR="005D2083" w:rsidRPr="00210160">
        <w:rPr>
          <w:noProof w:val="0"/>
        </w:rPr>
        <w:t xml:space="preserve">the maximum </w:t>
      </w:r>
      <w:r w:rsidR="005D2083">
        <w:rPr>
          <w:noProof w:val="0"/>
        </w:rPr>
        <w:t xml:space="preserve">actual </w:t>
      </w:r>
      <w:r w:rsidR="005D2083" w:rsidRPr="00210160">
        <w:rPr>
          <w:noProof w:val="0"/>
        </w:rPr>
        <w:t xml:space="preserve">observed stress is captured </w:t>
      </w:r>
      <w:r w:rsidR="005D2083">
        <w:rPr>
          <w:noProof w:val="0"/>
        </w:rPr>
        <w:t>regardless of the direction (as opposed to dictating the direction of the stress as is done when generating the hypothetical scenarios).</w:t>
      </w:r>
    </w:p>
    <w:p w14:paraId="0A072A36" w14:textId="77777777" w:rsidR="00E217E9" w:rsidRPr="00210160" w:rsidRDefault="00E217E9" w:rsidP="00CF2988">
      <w:pPr>
        <w:pStyle w:val="Heading4"/>
      </w:pPr>
      <w:r w:rsidRPr="00210160">
        <w:t>Proxies and adjustments</w:t>
      </w:r>
    </w:p>
    <w:p w14:paraId="652F1695" w14:textId="6F70CBD6" w:rsidR="00E217E9" w:rsidRPr="00210160" w:rsidRDefault="00E217E9" w:rsidP="00DB25E9">
      <w:pPr>
        <w:pStyle w:val="BodyText"/>
        <w:rPr>
          <w:noProof w:val="0"/>
        </w:rPr>
      </w:pPr>
      <w:r w:rsidRPr="00210160">
        <w:rPr>
          <w:noProof w:val="0"/>
        </w:rPr>
        <w:t xml:space="preserve">Cleared products with data </w:t>
      </w:r>
      <w:r w:rsidR="008A70D2" w:rsidRPr="00210160">
        <w:rPr>
          <w:noProof w:val="0"/>
        </w:rPr>
        <w:t>limitations</w:t>
      </w:r>
      <w:r w:rsidRPr="00210160">
        <w:rPr>
          <w:noProof w:val="0"/>
        </w:rPr>
        <w:t xml:space="preserve"> during a specific historical scenario (</w:t>
      </w:r>
      <w:r w:rsidR="008A70D2" w:rsidRPr="00210160">
        <w:rPr>
          <w:noProof w:val="0"/>
        </w:rPr>
        <w:t>e.g. no data availability</w:t>
      </w:r>
      <w:r w:rsidRPr="00210160">
        <w:rPr>
          <w:noProof w:val="0"/>
        </w:rPr>
        <w:t>), are proxied</w:t>
      </w:r>
      <w:r w:rsidR="00903CA3">
        <w:rPr>
          <w:noProof w:val="0"/>
        </w:rPr>
        <w:t>.</w:t>
      </w:r>
    </w:p>
    <w:p w14:paraId="606B9C5D" w14:textId="4A3384AE" w:rsidR="009D5E4F" w:rsidRPr="00210160" w:rsidRDefault="009D5E4F" w:rsidP="009D5E4F">
      <w:pPr>
        <w:pStyle w:val="Heading3"/>
      </w:pPr>
      <w:r w:rsidRPr="00210160">
        <w:t>Generating narrative scenario risk factor stress</w:t>
      </w:r>
    </w:p>
    <w:p w14:paraId="35B0F31E" w14:textId="02770806" w:rsidR="009D5E4F" w:rsidRPr="00210160" w:rsidRDefault="00FC7CE6" w:rsidP="00322B04">
      <w:pPr>
        <w:pStyle w:val="BodyText"/>
        <w:rPr>
          <w:noProof w:val="0"/>
        </w:rPr>
      </w:pPr>
      <w:r w:rsidRPr="00210160">
        <w:rPr>
          <w:noProof w:val="0"/>
        </w:rPr>
        <w:t>Narrative stress testing offers a greater freedom in terms of defining the risk factor level stress applied. This applies both for risk exposure to single risk factor market movements on the exposure and the collateral side. Examples of how narrative stress scenario shocks are generated are:</w:t>
      </w:r>
    </w:p>
    <w:p w14:paraId="2B7B88A0" w14:textId="5FB8F756" w:rsidR="00FC7CE6" w:rsidRPr="00210160" w:rsidRDefault="00FC7CE6" w:rsidP="00322B04">
      <w:pPr>
        <w:pStyle w:val="Bullets"/>
        <w:rPr>
          <w:noProof w:val="0"/>
          <w:lang w:val="en-US"/>
        </w:rPr>
      </w:pPr>
      <w:r w:rsidRPr="00210160">
        <w:rPr>
          <w:noProof w:val="0"/>
          <w:lang w:val="en-US"/>
        </w:rPr>
        <w:t>Application of historically observed maximum in the affected market(s)</w:t>
      </w:r>
    </w:p>
    <w:p w14:paraId="55F59860" w14:textId="6288C913" w:rsidR="00FC7CE6" w:rsidRPr="00210160" w:rsidRDefault="00FC7CE6" w:rsidP="00322B04">
      <w:pPr>
        <w:pStyle w:val="Bullets"/>
        <w:rPr>
          <w:noProof w:val="0"/>
          <w:lang w:val="en-US"/>
        </w:rPr>
      </w:pPr>
      <w:r w:rsidRPr="00210160">
        <w:rPr>
          <w:noProof w:val="0"/>
          <w:lang w:val="en-US"/>
        </w:rPr>
        <w:t xml:space="preserve">Application of unprecedented stress, e.g. derived from neighboring markets or </w:t>
      </w:r>
      <w:proofErr w:type="spellStart"/>
      <w:r w:rsidRPr="00210160">
        <w:rPr>
          <w:noProof w:val="0"/>
          <w:lang w:val="en-US"/>
        </w:rPr>
        <w:t>underlyings</w:t>
      </w:r>
      <w:proofErr w:type="spellEnd"/>
    </w:p>
    <w:p w14:paraId="3496C66E" w14:textId="323183FC" w:rsidR="00FC7CE6" w:rsidRPr="00210160" w:rsidRDefault="00FC7CE6" w:rsidP="00322B04">
      <w:pPr>
        <w:pStyle w:val="Bullets"/>
        <w:rPr>
          <w:noProof w:val="0"/>
          <w:lang w:val="en-US"/>
        </w:rPr>
      </w:pPr>
      <w:r w:rsidRPr="00210160">
        <w:rPr>
          <w:noProof w:val="0"/>
          <w:lang w:val="en-US"/>
        </w:rPr>
        <w:t xml:space="preserve">Application of stress levels inferred through analysis of </w:t>
      </w:r>
      <w:r w:rsidR="00342689" w:rsidRPr="00210160">
        <w:rPr>
          <w:noProof w:val="0"/>
          <w:lang w:val="en-US"/>
        </w:rPr>
        <w:t>scenario determined</w:t>
      </w:r>
      <w:r w:rsidRPr="00210160">
        <w:rPr>
          <w:noProof w:val="0"/>
          <w:lang w:val="en-US"/>
        </w:rPr>
        <w:t xml:space="preserve"> effects on other factors (e.g. </w:t>
      </w:r>
      <w:r w:rsidR="00342689" w:rsidRPr="00210160">
        <w:rPr>
          <w:noProof w:val="0"/>
          <w:lang w:val="en-US"/>
        </w:rPr>
        <w:t>the credit rating of a government)</w:t>
      </w:r>
    </w:p>
    <w:p w14:paraId="16D0913F" w14:textId="4B4371E4" w:rsidR="00342689" w:rsidRPr="00210160" w:rsidRDefault="00342689" w:rsidP="00322B04">
      <w:pPr>
        <w:pStyle w:val="BodyText"/>
        <w:rPr>
          <w:noProof w:val="0"/>
        </w:rPr>
      </w:pPr>
    </w:p>
    <w:p w14:paraId="22778481" w14:textId="09D6BEE3" w:rsidR="00C975A6" w:rsidRPr="00210160" w:rsidRDefault="00C975A6" w:rsidP="00C975A6">
      <w:pPr>
        <w:pStyle w:val="Heading3"/>
      </w:pPr>
      <w:bookmarkStart w:id="160" w:name="_Ref40811219"/>
      <w:r w:rsidRPr="00210160">
        <w:t>Common stress parameters across scenario types</w:t>
      </w:r>
      <w:bookmarkEnd w:id="160"/>
    </w:p>
    <w:p w14:paraId="6E342C1D" w14:textId="371B78E9" w:rsidR="00C975A6" w:rsidRPr="00210160" w:rsidRDefault="001C2C82" w:rsidP="00183F80">
      <w:pPr>
        <w:pStyle w:val="BodyText"/>
        <w:rPr>
          <w:noProof w:val="0"/>
        </w:rPr>
      </w:pPr>
      <w:r>
        <w:rPr>
          <w:noProof w:val="0"/>
        </w:rPr>
        <w:t>T</w:t>
      </w:r>
      <w:r w:rsidR="00C975A6" w:rsidRPr="00210160">
        <w:rPr>
          <w:noProof w:val="0"/>
        </w:rPr>
        <w:t>his section outline</w:t>
      </w:r>
      <w:r>
        <w:rPr>
          <w:noProof w:val="0"/>
        </w:rPr>
        <w:t>s the</w:t>
      </w:r>
      <w:r w:rsidR="00C975A6" w:rsidRPr="00210160">
        <w:rPr>
          <w:noProof w:val="0"/>
        </w:rPr>
        <w:t xml:space="preserve"> stress parameters which are applied across different scenario </w:t>
      </w:r>
      <w:proofErr w:type="gramStart"/>
      <w:r w:rsidR="00C975A6" w:rsidRPr="00210160">
        <w:rPr>
          <w:noProof w:val="0"/>
        </w:rPr>
        <w:t>types, and</w:t>
      </w:r>
      <w:proofErr w:type="gramEnd"/>
      <w:r w:rsidR="00C975A6" w:rsidRPr="00210160">
        <w:rPr>
          <w:noProof w:val="0"/>
        </w:rPr>
        <w:t xml:space="preserve"> hence are not differentiated</w:t>
      </w:r>
      <w:r w:rsidR="00AD3020" w:rsidRPr="00210160">
        <w:rPr>
          <w:noProof w:val="0"/>
        </w:rPr>
        <w:t xml:space="preserve"> in calibration</w:t>
      </w:r>
      <w:r w:rsidR="00C975A6" w:rsidRPr="00210160">
        <w:rPr>
          <w:noProof w:val="0"/>
        </w:rPr>
        <w:t xml:space="preserve"> </w:t>
      </w:r>
      <w:r w:rsidR="00AA133C" w:rsidRPr="00210160">
        <w:rPr>
          <w:noProof w:val="0"/>
        </w:rPr>
        <w:t>between historical and hypothetical scenarios. As narrative scenario</w:t>
      </w:r>
      <w:r w:rsidR="00AD3020" w:rsidRPr="00210160">
        <w:rPr>
          <w:noProof w:val="0"/>
        </w:rPr>
        <w:t xml:space="preserve"> design depends </w:t>
      </w:r>
      <w:r w:rsidR="00AA133C" w:rsidRPr="00210160">
        <w:rPr>
          <w:noProof w:val="0"/>
        </w:rPr>
        <w:t xml:space="preserve">on the narrative, there </w:t>
      </w:r>
      <w:r w:rsidR="004730E8" w:rsidRPr="00210160">
        <w:rPr>
          <w:noProof w:val="0"/>
        </w:rPr>
        <w:t xml:space="preserve">may be </w:t>
      </w:r>
      <w:r w:rsidR="00AA133C" w:rsidRPr="00210160">
        <w:rPr>
          <w:noProof w:val="0"/>
        </w:rPr>
        <w:t xml:space="preserve">differentiation between these risk factors compared to the standard </w:t>
      </w:r>
      <w:proofErr w:type="spellStart"/>
      <w:r w:rsidR="00AA133C" w:rsidRPr="00210160">
        <w:rPr>
          <w:noProof w:val="0"/>
        </w:rPr>
        <w:t>CCaR</w:t>
      </w:r>
      <w:proofErr w:type="spellEnd"/>
      <w:r w:rsidR="00AA133C" w:rsidRPr="00210160">
        <w:rPr>
          <w:noProof w:val="0"/>
        </w:rPr>
        <w:t xml:space="preserve"> </w:t>
      </w:r>
      <w:r w:rsidR="00F70042" w:rsidRPr="00210160">
        <w:rPr>
          <w:noProof w:val="0"/>
        </w:rPr>
        <w:t>approach</w:t>
      </w:r>
      <w:r w:rsidR="004730E8" w:rsidRPr="00210160">
        <w:rPr>
          <w:noProof w:val="0"/>
        </w:rPr>
        <w:t xml:space="preserve"> (for historical and hypothetical scenarios)</w:t>
      </w:r>
      <w:r w:rsidR="00AA133C" w:rsidRPr="00210160">
        <w:rPr>
          <w:noProof w:val="0"/>
        </w:rPr>
        <w:t>.</w:t>
      </w:r>
    </w:p>
    <w:p w14:paraId="021DAC72" w14:textId="1676C1A2" w:rsidR="00AA133C" w:rsidRPr="00210160" w:rsidRDefault="00AA133C" w:rsidP="007B040A">
      <w:pPr>
        <w:pStyle w:val="ListBullet"/>
        <w:numPr>
          <w:ilvl w:val="0"/>
          <w:numId w:val="22"/>
        </w:numPr>
      </w:pPr>
      <w:r w:rsidRPr="00210160">
        <w:rPr>
          <w:b/>
        </w:rPr>
        <w:t xml:space="preserve">FX stress: </w:t>
      </w:r>
      <w:r w:rsidRPr="00210160">
        <w:t xml:space="preserve">FX risk can arise for cleared positions where the exposure currency (the cleared instrument) is denoted in a different currency than the </w:t>
      </w:r>
      <w:r w:rsidR="004730E8" w:rsidRPr="00210160">
        <w:t xml:space="preserve">margin requirement and/or </w:t>
      </w:r>
      <w:r w:rsidRPr="00210160">
        <w:t>default fund of the relevant clearing service</w:t>
      </w:r>
    </w:p>
    <w:p w14:paraId="267E6A72" w14:textId="5672F7E1" w:rsidR="00AA133C" w:rsidRPr="00210160" w:rsidRDefault="00AA133C" w:rsidP="007B040A">
      <w:pPr>
        <w:pStyle w:val="ListBullet"/>
        <w:numPr>
          <w:ilvl w:val="0"/>
          <w:numId w:val="22"/>
        </w:numPr>
      </w:pPr>
      <w:bookmarkStart w:id="161" w:name="_Ref40811216"/>
      <w:r w:rsidRPr="00210160">
        <w:rPr>
          <w:b/>
        </w:rPr>
        <w:t xml:space="preserve">Implied volatility stress: </w:t>
      </w:r>
      <w:r w:rsidRPr="00210160">
        <w:t xml:space="preserve">As the valuation engine in </w:t>
      </w:r>
      <w:proofErr w:type="spellStart"/>
      <w:r w:rsidRPr="00210160">
        <w:t>CCaR</w:t>
      </w:r>
      <w:proofErr w:type="spellEnd"/>
      <w:r w:rsidRPr="00210160">
        <w:t xml:space="preserve"> is common with the respective margin models, volatility stress is applied in a similar manner in </w:t>
      </w:r>
      <w:proofErr w:type="spellStart"/>
      <w:r w:rsidRPr="00210160">
        <w:t>CCaR</w:t>
      </w:r>
      <w:proofErr w:type="spellEnd"/>
      <w:r w:rsidRPr="00210160">
        <w:t xml:space="preserve"> as for IM</w:t>
      </w:r>
      <w:bookmarkEnd w:id="161"/>
    </w:p>
    <w:p w14:paraId="0E8ED943" w14:textId="395BFF90" w:rsidR="00AA133C" w:rsidRPr="00210160" w:rsidRDefault="00AA133C" w:rsidP="004B2016">
      <w:pPr>
        <w:pStyle w:val="Heading4"/>
        <w:numPr>
          <w:ilvl w:val="0"/>
          <w:numId w:val="34"/>
        </w:numPr>
        <w:ind w:left="426" w:hanging="426"/>
      </w:pPr>
      <w:r w:rsidRPr="00210160">
        <w:t>FX stress</w:t>
      </w:r>
    </w:p>
    <w:p w14:paraId="68221C83" w14:textId="6D02D9D4" w:rsidR="00E217E9" w:rsidRPr="00210160" w:rsidRDefault="00E217E9" w:rsidP="00183F80">
      <w:pPr>
        <w:pStyle w:val="BodyText"/>
        <w:rPr>
          <w:noProof w:val="0"/>
        </w:rPr>
      </w:pPr>
      <w:r w:rsidRPr="00210160">
        <w:rPr>
          <w:noProof w:val="0"/>
        </w:rPr>
        <w:t xml:space="preserve">To hold up against the risk arising from converting derivatives exposures denoted in a different currency than IM and default fund requirements for the exposure, a currency risk stress is applied to </w:t>
      </w:r>
      <w:r w:rsidRPr="00210160">
        <w:rPr>
          <w:noProof w:val="0"/>
        </w:rPr>
        <w:lastRenderedPageBreak/>
        <w:t>each individual member’s exposure</w:t>
      </w:r>
      <w:r w:rsidR="00092AE1" w:rsidRPr="00210160">
        <w:rPr>
          <w:noProof w:val="0"/>
        </w:rPr>
        <w:t xml:space="preserve"> in such a currency</w:t>
      </w:r>
      <w:r w:rsidRPr="00210160">
        <w:rPr>
          <w:noProof w:val="0"/>
        </w:rPr>
        <w:t xml:space="preserve">. The stress is calibrated to withstand extreme but plausible market conditions for the relevant currency pairs for which Nasdaq Clearing has material exposure to with regards to the </w:t>
      </w:r>
      <w:proofErr w:type="spellStart"/>
      <w:r w:rsidRPr="00210160">
        <w:rPr>
          <w:noProof w:val="0"/>
        </w:rPr>
        <w:t>CCaR</w:t>
      </w:r>
      <w:proofErr w:type="spellEnd"/>
      <w:r w:rsidRPr="00210160">
        <w:rPr>
          <w:noProof w:val="0"/>
        </w:rPr>
        <w:t xml:space="preserve"> model. The relevant currency pairs can be found in the table below. </w:t>
      </w:r>
    </w:p>
    <w:p w14:paraId="279268FB" w14:textId="011BFF99" w:rsidR="00E63261" w:rsidRPr="00210160" w:rsidRDefault="00E63261" w:rsidP="00E63261">
      <w:pPr>
        <w:pStyle w:val="Caption"/>
        <w:rPr>
          <w:lang w:val="en-US"/>
        </w:rPr>
      </w:pPr>
      <w:r w:rsidRPr="00210160">
        <w:rPr>
          <w:lang w:val="en-US"/>
        </w:rPr>
        <w:t xml:space="preserve">Table </w:t>
      </w:r>
      <w:r w:rsidRPr="00210160">
        <w:rPr>
          <w:lang w:val="en-US"/>
        </w:rPr>
        <w:fldChar w:fldCharType="begin"/>
      </w:r>
      <w:r w:rsidRPr="00210160">
        <w:rPr>
          <w:lang w:val="en-US"/>
        </w:rPr>
        <w:instrText xml:space="preserve"> SEQ Table \* ARABIC </w:instrText>
      </w:r>
      <w:r w:rsidRPr="00210160">
        <w:rPr>
          <w:lang w:val="en-US"/>
        </w:rPr>
        <w:fldChar w:fldCharType="separate"/>
      </w:r>
      <w:r w:rsidR="009A4B3A">
        <w:rPr>
          <w:noProof/>
          <w:lang w:val="en-US"/>
        </w:rPr>
        <w:t>3</w:t>
      </w:r>
      <w:r w:rsidRPr="00210160">
        <w:rPr>
          <w:lang w:val="en-US"/>
        </w:rPr>
        <w:fldChar w:fldCharType="end"/>
      </w:r>
      <w:r w:rsidRPr="00210160">
        <w:rPr>
          <w:lang w:val="en-US"/>
        </w:rPr>
        <w:t xml:space="preserve">: FX pairs relevant for the </w:t>
      </w:r>
      <w:proofErr w:type="spellStart"/>
      <w:r w:rsidRPr="00210160">
        <w:rPr>
          <w:lang w:val="en-US"/>
        </w:rPr>
        <w:t>CCaR</w:t>
      </w:r>
      <w:proofErr w:type="spellEnd"/>
      <w:r w:rsidRPr="00210160">
        <w:rPr>
          <w:lang w:val="en-US"/>
        </w:rPr>
        <w:t xml:space="preserve"> model</w:t>
      </w:r>
    </w:p>
    <w:tbl>
      <w:tblPr>
        <w:tblStyle w:val="OWTable"/>
        <w:tblW w:w="1005" w:type="pct"/>
        <w:tblBorders>
          <w:bottom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814"/>
      </w:tblGrid>
      <w:tr w:rsidR="0021173A" w:rsidRPr="00210160" w14:paraId="39F6EC98" w14:textId="6B2E5D6B" w:rsidTr="00CA4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shd w:val="clear" w:color="auto" w:fill="009EC2" w:themeFill="text2"/>
          </w:tcPr>
          <w:p w14:paraId="217FAC04" w14:textId="16AC33B3" w:rsidR="0021173A" w:rsidRPr="00210160" w:rsidRDefault="0021173A" w:rsidP="001C2C82">
            <w:pPr>
              <w:pStyle w:val="TableText"/>
              <w:spacing w:before="0" w:after="0"/>
            </w:pPr>
            <w:r w:rsidRPr="00210160">
              <w:rPr>
                <w:color w:val="FFFFFF" w:themeColor="background1"/>
              </w:rPr>
              <w:t>FX pair</w:t>
            </w:r>
          </w:p>
        </w:tc>
      </w:tr>
      <w:tr w:rsidR="0021173A" w:rsidRPr="00210160" w14:paraId="256EE9B3" w14:textId="0907B465"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50DF6693" w14:textId="4A68929C" w:rsidR="0021173A" w:rsidRPr="00210160" w:rsidRDefault="005D2083" w:rsidP="001C2C82">
            <w:pPr>
              <w:pStyle w:val="TableText"/>
              <w:spacing w:before="0" w:after="0"/>
            </w:pPr>
            <w:r>
              <w:t>NOK-SEK</w:t>
            </w:r>
          </w:p>
        </w:tc>
      </w:tr>
      <w:tr w:rsidR="0021173A" w:rsidRPr="00210160" w14:paraId="75768EA4" w14:textId="28A51824"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2B0838C4" w14:textId="77777777" w:rsidR="0021173A" w:rsidRPr="00210160" w:rsidRDefault="0021173A" w:rsidP="001C2C82">
            <w:pPr>
              <w:pStyle w:val="TableText"/>
              <w:spacing w:before="0" w:after="0"/>
            </w:pPr>
            <w:r w:rsidRPr="00210160">
              <w:t>NOK-EUR</w:t>
            </w:r>
          </w:p>
        </w:tc>
      </w:tr>
      <w:tr w:rsidR="0021173A" w:rsidRPr="00210160" w14:paraId="3E695129" w14:textId="56A211FA"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604B28CE" w14:textId="28CD3B99" w:rsidR="0021173A" w:rsidRPr="00210160" w:rsidRDefault="005D2083" w:rsidP="001C2C82">
            <w:pPr>
              <w:pStyle w:val="TableText"/>
              <w:spacing w:before="0" w:after="0"/>
            </w:pPr>
            <w:r>
              <w:t>DKK-SEK</w:t>
            </w:r>
          </w:p>
        </w:tc>
      </w:tr>
      <w:tr w:rsidR="0021173A" w:rsidRPr="00210160" w14:paraId="71CE0DA6" w14:textId="52D9A2DF"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695B6211" w14:textId="77777777" w:rsidR="0021173A" w:rsidRPr="00210160" w:rsidRDefault="0021173A" w:rsidP="001C2C82">
            <w:pPr>
              <w:pStyle w:val="TableText"/>
              <w:spacing w:before="0" w:after="0"/>
            </w:pPr>
            <w:r w:rsidRPr="00210160">
              <w:t>USD-EUR</w:t>
            </w:r>
          </w:p>
        </w:tc>
      </w:tr>
      <w:tr w:rsidR="0021173A" w:rsidRPr="00210160" w14:paraId="43A0CC1E" w14:textId="712F5B9F"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08EE9397" w14:textId="77777777" w:rsidR="0021173A" w:rsidRPr="00210160" w:rsidRDefault="0021173A" w:rsidP="001C2C82">
            <w:pPr>
              <w:pStyle w:val="TableText"/>
              <w:spacing w:before="0" w:after="0"/>
            </w:pPr>
            <w:r w:rsidRPr="00210160">
              <w:t>SEK-EUR</w:t>
            </w:r>
          </w:p>
        </w:tc>
      </w:tr>
      <w:tr w:rsidR="0021173A" w:rsidRPr="00210160" w14:paraId="045D0B20" w14:textId="2819C838"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0AC36096" w14:textId="647416A6" w:rsidR="0021173A" w:rsidRPr="00210160" w:rsidRDefault="00935C73" w:rsidP="001C2C82">
            <w:pPr>
              <w:pStyle w:val="TableText"/>
              <w:spacing w:before="0" w:after="0"/>
            </w:pPr>
            <w:r>
              <w:t>USD-SEK</w:t>
            </w:r>
          </w:p>
        </w:tc>
      </w:tr>
      <w:tr w:rsidR="0021173A" w:rsidRPr="00210160" w14:paraId="200B919C" w14:textId="1EDA23A7" w:rsidTr="00CA4030">
        <w:tc>
          <w:tcPr>
            <w:cnfStyle w:val="001000000000" w:firstRow="0" w:lastRow="0" w:firstColumn="1" w:lastColumn="0" w:oddVBand="0" w:evenVBand="0" w:oddHBand="0" w:evenHBand="0" w:firstRowFirstColumn="0" w:firstRowLastColumn="0" w:lastRowFirstColumn="0" w:lastRowLastColumn="0"/>
            <w:tcW w:w="1814" w:type="dxa"/>
            <w:vAlign w:val="bottom"/>
          </w:tcPr>
          <w:p w14:paraId="44FC59BD" w14:textId="77777777" w:rsidR="0021173A" w:rsidRPr="00210160" w:rsidRDefault="0021173A" w:rsidP="001C2C82">
            <w:pPr>
              <w:pStyle w:val="TableText"/>
              <w:spacing w:before="0" w:after="0"/>
            </w:pPr>
            <w:r w:rsidRPr="00210160">
              <w:t>DKK-EUR</w:t>
            </w:r>
          </w:p>
        </w:tc>
      </w:tr>
    </w:tbl>
    <w:p w14:paraId="391BA8DE" w14:textId="09C70D5B" w:rsidR="00E217E9" w:rsidRPr="00210160" w:rsidRDefault="00E217E9" w:rsidP="00F1538F">
      <w:pPr>
        <w:pStyle w:val="BodyText"/>
        <w:rPr>
          <w:i/>
          <w:noProof w:val="0"/>
        </w:rPr>
      </w:pPr>
      <w:r w:rsidRPr="00210160">
        <w:rPr>
          <w:i/>
          <w:noProof w:val="0"/>
        </w:rPr>
        <w:t xml:space="preserve">Note: The FX stress </w:t>
      </w:r>
      <w:r w:rsidR="00A957DF" w:rsidRPr="00210160">
        <w:rPr>
          <w:i/>
          <w:noProof w:val="0"/>
        </w:rPr>
        <w:t xml:space="preserve">also </w:t>
      </w:r>
      <w:r w:rsidRPr="00210160">
        <w:rPr>
          <w:i/>
          <w:noProof w:val="0"/>
        </w:rPr>
        <w:t>applie</w:t>
      </w:r>
      <w:r w:rsidR="00A957DF" w:rsidRPr="00210160">
        <w:rPr>
          <w:i/>
          <w:noProof w:val="0"/>
        </w:rPr>
        <w:t>s</w:t>
      </w:r>
      <w:r w:rsidRPr="00210160">
        <w:rPr>
          <w:i/>
          <w:noProof w:val="0"/>
        </w:rPr>
        <w:t xml:space="preserve"> to the inverted pair</w:t>
      </w:r>
    </w:p>
    <w:p w14:paraId="5D09CB18" w14:textId="313F54A4" w:rsidR="00F4138A" w:rsidRPr="00AC0D1C" w:rsidRDefault="00E217E9" w:rsidP="00C34C06">
      <w:pPr>
        <w:pStyle w:val="Caption"/>
        <w:rPr>
          <w:b w:val="0"/>
          <w:bCs w:val="0"/>
          <w:lang w:val="en-US"/>
        </w:rPr>
      </w:pPr>
      <w:r w:rsidRPr="00AC0D1C">
        <w:rPr>
          <w:b w:val="0"/>
          <w:bCs w:val="0"/>
        </w:rPr>
        <w:t xml:space="preserve">More specifically, stress is calibrated per relevant currency pair as the 99.9 empirical exclusive percentile of observed daily relative return in rates (absolute sign) over the lookback period, scaled by the square root of five to hold up against risk from products with a liquidation period of five days. </w:t>
      </w:r>
    </w:p>
    <w:p w14:paraId="7C0CD884" w14:textId="6EFECE5D" w:rsidR="00735291" w:rsidRPr="00210160" w:rsidRDefault="003051DA" w:rsidP="00642C0C">
      <w:pPr>
        <w:pStyle w:val="Heading2"/>
      </w:pPr>
      <w:bookmarkStart w:id="162" w:name="_Ref41579871"/>
      <w:bookmarkStart w:id="163" w:name="_Ref41579892"/>
      <w:bookmarkStart w:id="164" w:name="_Ref41580166"/>
      <w:bookmarkStart w:id="165" w:name="_Ref41580287"/>
      <w:bookmarkStart w:id="166" w:name="_Ref41580305"/>
      <w:bookmarkStart w:id="167" w:name="_Ref41580456"/>
      <w:bookmarkStart w:id="168" w:name="_Ref41598745"/>
      <w:bookmarkStart w:id="169" w:name="_Ref41598769"/>
      <w:bookmarkStart w:id="170" w:name="_Ref41598908"/>
      <w:bookmarkStart w:id="171" w:name="_Toc233032389"/>
      <w:r w:rsidRPr="00210160">
        <w:t xml:space="preserve">Portfolio </w:t>
      </w:r>
      <w:r w:rsidR="00301F2F" w:rsidRPr="00210160">
        <w:t>risk calculation</w:t>
      </w:r>
      <w:bookmarkEnd w:id="162"/>
      <w:bookmarkEnd w:id="163"/>
      <w:bookmarkEnd w:id="164"/>
      <w:bookmarkEnd w:id="165"/>
      <w:bookmarkEnd w:id="166"/>
      <w:bookmarkEnd w:id="167"/>
      <w:bookmarkEnd w:id="168"/>
      <w:bookmarkEnd w:id="169"/>
      <w:bookmarkEnd w:id="170"/>
      <w:bookmarkEnd w:id="171"/>
    </w:p>
    <w:p w14:paraId="2F470DB0" w14:textId="3F39CD6F" w:rsidR="0031417E" w:rsidRPr="00210160" w:rsidRDefault="0031417E" w:rsidP="00E63261">
      <w:pPr>
        <w:pStyle w:val="BodyText"/>
        <w:rPr>
          <w:noProof w:val="0"/>
        </w:rPr>
      </w:pPr>
      <w:r w:rsidRPr="00210160">
        <w:rPr>
          <w:noProof w:val="0"/>
        </w:rPr>
        <w:t>Once the individual stress parameters have been derived, a set of scenarios are generated to aggregate the calculated stress across product areas and each default fund. The scenario design, and thus the direction and correlation of the stressed shocks are based on different assumptions for historical</w:t>
      </w:r>
      <w:r w:rsidR="00CF5ED1">
        <w:rPr>
          <w:noProof w:val="0"/>
        </w:rPr>
        <w:t xml:space="preserve">, </w:t>
      </w:r>
      <w:r w:rsidRPr="00210160">
        <w:rPr>
          <w:noProof w:val="0"/>
        </w:rPr>
        <w:t xml:space="preserve">hypothetical </w:t>
      </w:r>
      <w:r w:rsidR="00CF5ED1">
        <w:rPr>
          <w:noProof w:val="0"/>
        </w:rPr>
        <w:t xml:space="preserve">and narrative </w:t>
      </w:r>
      <w:r w:rsidRPr="00210160">
        <w:rPr>
          <w:noProof w:val="0"/>
        </w:rPr>
        <w:t>scenarios, as described below:</w:t>
      </w:r>
    </w:p>
    <w:p w14:paraId="53E4EB48" w14:textId="77777777" w:rsidR="0031417E" w:rsidRPr="00210160" w:rsidRDefault="0031417E" w:rsidP="00E63261">
      <w:pPr>
        <w:pStyle w:val="Bullets"/>
        <w:rPr>
          <w:noProof w:val="0"/>
          <w:lang w:val="en-US"/>
        </w:rPr>
      </w:pPr>
      <w:r w:rsidRPr="00210160">
        <w:rPr>
          <w:b/>
          <w:noProof w:val="0"/>
          <w:lang w:val="en-US"/>
        </w:rPr>
        <w:t>Historical scenarios</w:t>
      </w:r>
      <w:r w:rsidRPr="00210160">
        <w:rPr>
          <w:noProof w:val="0"/>
          <w:lang w:val="en-US"/>
        </w:rPr>
        <w:t>: Scenarios reflect the observed underlying historical correlations, i.e. the actual direction of the historical stress events</w:t>
      </w:r>
    </w:p>
    <w:p w14:paraId="10231AE7" w14:textId="3AE12382" w:rsidR="0031417E" w:rsidRPr="00210160" w:rsidRDefault="0031417E" w:rsidP="00E63261">
      <w:pPr>
        <w:pStyle w:val="Bullets"/>
        <w:rPr>
          <w:noProof w:val="0"/>
          <w:lang w:val="en-US"/>
        </w:rPr>
      </w:pPr>
      <w:r w:rsidRPr="00210160">
        <w:rPr>
          <w:b/>
          <w:noProof w:val="0"/>
          <w:lang w:val="en-US"/>
        </w:rPr>
        <w:t>Hypothetical scenarios:</w:t>
      </w:r>
      <w:r w:rsidRPr="00210160">
        <w:rPr>
          <w:noProof w:val="0"/>
          <w:lang w:val="en-US"/>
        </w:rPr>
        <w:t xml:space="preserve"> Scenarios are built assuming the individual stress shocks will occur on the same day, for instruments within the same Product Area the shocks occur in the same direction, whereas between other products no </w:t>
      </w:r>
      <w:r w:rsidR="00225AFC" w:rsidRPr="00210160">
        <w:rPr>
          <w:noProof w:val="0"/>
          <w:lang w:val="en-US"/>
        </w:rPr>
        <w:t xml:space="preserve">certain </w:t>
      </w:r>
      <w:r w:rsidRPr="00210160">
        <w:rPr>
          <w:noProof w:val="0"/>
          <w:lang w:val="en-US"/>
        </w:rPr>
        <w:t>dependency is assumed and hence all possible combinations of directionality are applied</w:t>
      </w:r>
    </w:p>
    <w:p w14:paraId="3A0F7353" w14:textId="2DBE673F" w:rsidR="00FD3C68" w:rsidRPr="00210160" w:rsidRDefault="00FD3C68" w:rsidP="00E63261">
      <w:pPr>
        <w:pStyle w:val="Bullets"/>
        <w:rPr>
          <w:noProof w:val="0"/>
          <w:lang w:val="en-US"/>
        </w:rPr>
      </w:pPr>
      <w:r w:rsidRPr="00210160">
        <w:rPr>
          <w:b/>
          <w:noProof w:val="0"/>
          <w:lang w:val="en-US"/>
        </w:rPr>
        <w:t>Narrative scenarios:</w:t>
      </w:r>
      <w:r w:rsidRPr="00210160">
        <w:rPr>
          <w:noProof w:val="0"/>
          <w:lang w:val="en-US"/>
        </w:rPr>
        <w:t xml:space="preserve"> Scenarios are built with hypothetical scenario design as a starting </w:t>
      </w:r>
      <w:proofErr w:type="gramStart"/>
      <w:r w:rsidRPr="00210160">
        <w:rPr>
          <w:noProof w:val="0"/>
          <w:lang w:val="en-US"/>
        </w:rPr>
        <w:t>point,</w:t>
      </w:r>
      <w:proofErr w:type="gramEnd"/>
      <w:r w:rsidRPr="00210160">
        <w:rPr>
          <w:noProof w:val="0"/>
          <w:lang w:val="en-US"/>
        </w:rPr>
        <w:t xml:space="preserve"> however </w:t>
      </w:r>
      <w:r w:rsidR="00157EAF" w:rsidRPr="00210160">
        <w:rPr>
          <w:noProof w:val="0"/>
          <w:lang w:val="en-US"/>
        </w:rPr>
        <w:t>the scenario build is tailored freely to fit the specific narrative</w:t>
      </w:r>
    </w:p>
    <w:p w14:paraId="176CA4A5" w14:textId="27C466AE" w:rsidR="00A1166C" w:rsidRPr="00210160" w:rsidRDefault="00F87C72" w:rsidP="00E63261">
      <w:pPr>
        <w:pStyle w:val="BodyText"/>
        <w:rPr>
          <w:noProof w:val="0"/>
        </w:rPr>
      </w:pPr>
      <w:r w:rsidRPr="00210160">
        <w:rPr>
          <w:noProof w:val="0"/>
        </w:rPr>
        <w:t xml:space="preserve"> </w:t>
      </w:r>
    </w:p>
    <w:p w14:paraId="108A5C61" w14:textId="77777777" w:rsidR="00190D21" w:rsidRPr="00210160" w:rsidRDefault="00190D21" w:rsidP="007B040A">
      <w:pPr>
        <w:pStyle w:val="Heading3"/>
        <w:numPr>
          <w:ilvl w:val="2"/>
          <w:numId w:val="26"/>
        </w:numPr>
        <w:tabs>
          <w:tab w:val="num" w:pos="0"/>
        </w:tabs>
        <w:ind w:right="-8"/>
      </w:pPr>
      <w:r w:rsidRPr="00210160">
        <w:t>Historical scenario design</w:t>
      </w:r>
    </w:p>
    <w:p w14:paraId="2706A26C" w14:textId="77777777" w:rsidR="00190D21" w:rsidRPr="00210160" w:rsidRDefault="00190D21" w:rsidP="00190D21">
      <w:pPr>
        <w:rPr>
          <w:color w:val="000000" w:themeColor="text1"/>
        </w:rPr>
      </w:pPr>
      <w:r w:rsidRPr="00210160">
        <w:t>As the</w:t>
      </w:r>
      <w:r w:rsidRPr="00210160">
        <w:rPr>
          <w:color w:val="000000" w:themeColor="text1"/>
        </w:rPr>
        <w:t xml:space="preserve"> historical scenarios are designed as actual replays of the historical stress events</w:t>
      </w:r>
      <w:r w:rsidRPr="00210160">
        <w:rPr>
          <w:rStyle w:val="FootnoteReference"/>
          <w:color w:val="000000" w:themeColor="text1"/>
        </w:rPr>
        <w:footnoteReference w:id="2"/>
      </w:r>
      <w:r w:rsidRPr="00210160">
        <w:rPr>
          <w:color w:val="000000" w:themeColor="text1"/>
        </w:rPr>
        <w:t xml:space="preserve"> identified, applied to each of the current portfolios, the scenario design is simplistic. The scenarios are constructed by applying the observed historical stress for each risk factor per event, with the implied volatility stress in positive direction, and as such the number of historical scenarios is equal to the number of historical events selected.  The implied volatility is always stressed upwards for historical </w:t>
      </w:r>
      <w:r w:rsidRPr="00210160">
        <w:rPr>
          <w:color w:val="000000" w:themeColor="text1"/>
        </w:rPr>
        <w:lastRenderedPageBreak/>
        <w:t xml:space="preserve">events, as during times of extreme market movements it can be assumed that high (positive) volatilities are observed (this general rule is however broken in hypothetical scenarios, see below). </w:t>
      </w:r>
    </w:p>
    <w:p w14:paraId="4491D104" w14:textId="62AD76F6" w:rsidR="00190D21" w:rsidRPr="00210160" w:rsidRDefault="00190D21" w:rsidP="00190D21">
      <w:pPr>
        <w:rPr>
          <w:color w:val="000000" w:themeColor="text1"/>
        </w:rPr>
      </w:pPr>
      <w:r w:rsidRPr="00210160">
        <w:rPr>
          <w:color w:val="000000" w:themeColor="text1"/>
        </w:rPr>
        <w:t xml:space="preserve">Note that currency stress is applied independently between the scenarios in the </w:t>
      </w:r>
      <w:r w:rsidR="00722A17" w:rsidRPr="00210160">
        <w:rPr>
          <w:color w:val="000000" w:themeColor="text1"/>
        </w:rPr>
        <w:t>unfavourable</w:t>
      </w:r>
      <w:r w:rsidRPr="00210160">
        <w:rPr>
          <w:color w:val="000000" w:themeColor="text1"/>
        </w:rPr>
        <w:t xml:space="preserve"> direction should any FX risk exist for a portfolio, see next section for further description.</w:t>
      </w:r>
    </w:p>
    <w:p w14:paraId="7B871D35" w14:textId="36EC0B1F" w:rsidR="0031417E" w:rsidRPr="00210160" w:rsidRDefault="00CC3FF0" w:rsidP="0031417E">
      <w:pPr>
        <w:pStyle w:val="Heading3"/>
      </w:pPr>
      <w:r w:rsidRPr="00210160">
        <w:t>Hypothetical s</w:t>
      </w:r>
      <w:r w:rsidR="0031417E" w:rsidRPr="00210160">
        <w:t>cenario design</w:t>
      </w:r>
    </w:p>
    <w:p w14:paraId="69B8E07F" w14:textId="77777777" w:rsidR="00190D21" w:rsidRPr="00210160" w:rsidRDefault="00190D21" w:rsidP="00190D21">
      <w:r w:rsidRPr="00210160">
        <w:t>The hypothetical scenarios are generated in two steps, namely via:</w:t>
      </w:r>
    </w:p>
    <w:p w14:paraId="74894618" w14:textId="77777777" w:rsidR="00190D21" w:rsidRPr="00210160" w:rsidRDefault="00190D21" w:rsidP="007B040A">
      <w:pPr>
        <w:pStyle w:val="ListParagraph"/>
        <w:numPr>
          <w:ilvl w:val="0"/>
          <w:numId w:val="27"/>
        </w:numPr>
      </w:pPr>
      <w:r w:rsidRPr="00210160">
        <w:rPr>
          <w:b/>
        </w:rPr>
        <w:t xml:space="preserve">Basic scenarios </w:t>
      </w:r>
      <w:r w:rsidRPr="00210160">
        <w:t>– scenarios within Product Areas, for which individual risk factor shocks are applied simultaneously for all instruments in a certain direction – these scenarios are the building blocks of the “final scenarios”</w:t>
      </w:r>
    </w:p>
    <w:p w14:paraId="74116AAA" w14:textId="42C3EA7E" w:rsidR="00AD05F5" w:rsidRPr="00210160" w:rsidRDefault="00190D21" w:rsidP="00E63261">
      <w:pPr>
        <w:pStyle w:val="ListParagraph"/>
        <w:numPr>
          <w:ilvl w:val="0"/>
          <w:numId w:val="27"/>
        </w:numPr>
      </w:pPr>
      <w:r w:rsidRPr="00210160">
        <w:rPr>
          <w:b/>
        </w:rPr>
        <w:t>Final scenarios</w:t>
      </w:r>
      <w:r w:rsidRPr="00210160">
        <w:t xml:space="preserve"> – scenarios across Product Areas, taking all possible combinations of the basic scenarios (Not imposing any statistical dependency between different Product Areas)</w:t>
      </w:r>
    </w:p>
    <w:p w14:paraId="7107AC3A" w14:textId="77777777" w:rsidR="009608C6" w:rsidRPr="00210160" w:rsidRDefault="009608C6" w:rsidP="009608C6">
      <w:pPr>
        <w:pStyle w:val="ListParagraph"/>
      </w:pPr>
    </w:p>
    <w:p w14:paraId="414A5E76" w14:textId="77777777" w:rsidR="0031417E" w:rsidRPr="00210160" w:rsidRDefault="0031417E" w:rsidP="00E63261">
      <w:pPr>
        <w:pStyle w:val="BodyText"/>
        <w:rPr>
          <w:noProof w:val="0"/>
        </w:rPr>
      </w:pPr>
      <w:r w:rsidRPr="00210160">
        <w:rPr>
          <w:noProof w:val="0"/>
        </w:rPr>
        <w:t xml:space="preserve">Below, the two scenarios are described further. </w:t>
      </w:r>
    </w:p>
    <w:p w14:paraId="5D16A7BD" w14:textId="77777777" w:rsidR="0031417E" w:rsidRPr="00210160" w:rsidRDefault="0031417E" w:rsidP="007B040A">
      <w:pPr>
        <w:pStyle w:val="Heading4"/>
        <w:numPr>
          <w:ilvl w:val="0"/>
          <w:numId w:val="12"/>
        </w:numPr>
        <w:ind w:left="360"/>
      </w:pPr>
      <w:r w:rsidRPr="00210160">
        <w:t>Basic scenarios</w:t>
      </w:r>
    </w:p>
    <w:p w14:paraId="74FF318E" w14:textId="77777777" w:rsidR="00190D21" w:rsidRPr="00210160" w:rsidRDefault="00190D21" w:rsidP="00190D21">
      <w:pPr>
        <w:pStyle w:val="BodyText"/>
        <w:rPr>
          <w:noProof w:val="0"/>
        </w:rPr>
      </w:pPr>
      <w:bookmarkStart w:id="172" w:name="_Ref41587925"/>
      <w:r w:rsidRPr="00210160">
        <w:rPr>
          <w:noProof w:val="0"/>
        </w:rPr>
        <w:t>The basic scenarios are the stress scenarios that take place within a certain Product Area. For example, a basic scenario can be that the underlying price is stressed up for all products within the Product Area. The magnitude of stress for the individual instruments is different and depends on the single risk factor stress estimation, but the directionality is consistent within the Product Area in the basic scenario. The number of basic scenarios per product area varies with the number of risk factors and per asset class:</w:t>
      </w:r>
    </w:p>
    <w:p w14:paraId="7D1D00B4" w14:textId="216B90EE" w:rsidR="00190D21" w:rsidRPr="00210160" w:rsidRDefault="00190D21" w:rsidP="00190D21">
      <w:pPr>
        <w:pStyle w:val="Bullets"/>
        <w:rPr>
          <w:noProof w:val="0"/>
          <w:lang w:val="en-US"/>
        </w:rPr>
      </w:pPr>
      <w:r w:rsidRPr="00210160">
        <w:rPr>
          <w:b/>
          <w:noProof w:val="0"/>
          <w:lang w:val="en-US"/>
        </w:rPr>
        <w:t>For Equity underlying prices</w:t>
      </w:r>
      <w:r w:rsidRPr="00210160">
        <w:rPr>
          <w:noProof w:val="0"/>
          <w:lang w:val="en-US"/>
        </w:rPr>
        <w:t xml:space="preserve"> there are two basic </w:t>
      </w:r>
      <w:r w:rsidR="00EF785F" w:rsidRPr="00210160">
        <w:rPr>
          <w:noProof w:val="0"/>
          <w:lang w:val="en-US"/>
        </w:rPr>
        <w:t>scenarios:</w:t>
      </w:r>
      <w:r w:rsidRPr="00210160">
        <w:rPr>
          <w:noProof w:val="0"/>
          <w:lang w:val="en-US"/>
        </w:rPr>
        <w:t xml:space="preserve"> price shock up and down </w:t>
      </w:r>
    </w:p>
    <w:p w14:paraId="5CB0FDCA" w14:textId="4127BC64" w:rsidR="00190D21" w:rsidRPr="00210160" w:rsidRDefault="00190D21" w:rsidP="00190D21">
      <w:pPr>
        <w:pStyle w:val="Bullets"/>
        <w:rPr>
          <w:noProof w:val="0"/>
          <w:lang w:val="en-US"/>
        </w:rPr>
      </w:pPr>
      <w:r w:rsidRPr="00210160">
        <w:rPr>
          <w:b/>
          <w:noProof w:val="0"/>
          <w:lang w:val="en-US"/>
        </w:rPr>
        <w:t>For Fixed income products</w:t>
      </w:r>
      <w:r w:rsidRPr="00210160">
        <w:rPr>
          <w:noProof w:val="0"/>
          <w:lang w:val="en-US"/>
        </w:rPr>
        <w:t xml:space="preserve"> there are four basic scenarios due to the use two principal components (PC1, PC2); (up, up), (up, down), (down, up), (down, down)</w:t>
      </w:r>
    </w:p>
    <w:p w14:paraId="0D0506BA" w14:textId="278AECA0" w:rsidR="00190D21" w:rsidRPr="00210160" w:rsidRDefault="00190D21" w:rsidP="00190D21">
      <w:pPr>
        <w:pStyle w:val="BodyText"/>
        <w:rPr>
          <w:noProof w:val="0"/>
        </w:rPr>
      </w:pPr>
      <w:r w:rsidRPr="00210160">
        <w:rPr>
          <w:noProof w:val="0"/>
        </w:rPr>
        <w:t xml:space="preserve">The logic behind the basic scenarios is displayed in the table below. Note that per Margin Calculation Account (where IM calculations and Stressed Market Value calculations are compared to generate the </w:t>
      </w:r>
      <w:proofErr w:type="spellStart"/>
      <w:r w:rsidRPr="00210160">
        <w:rPr>
          <w:noProof w:val="0"/>
        </w:rPr>
        <w:t>CCaR</w:t>
      </w:r>
      <w:proofErr w:type="spellEnd"/>
      <w:r w:rsidRPr="00210160">
        <w:rPr>
          <w:noProof w:val="0"/>
        </w:rPr>
        <w:t xml:space="preserve"> or stress loss beyond margin per account) the implied volatility is shocked in the way which maximizes the </w:t>
      </w:r>
      <w:proofErr w:type="spellStart"/>
      <w:r w:rsidRPr="00210160">
        <w:rPr>
          <w:noProof w:val="0"/>
        </w:rPr>
        <w:t>CCaR</w:t>
      </w:r>
      <w:proofErr w:type="spellEnd"/>
      <w:r w:rsidRPr="00210160">
        <w:rPr>
          <w:noProof w:val="0"/>
        </w:rPr>
        <w:t xml:space="preserve"> value – hence it is not scenario consistent between different accounts. This assumption reduces the dimensionality of scenario generation and is conservative.</w:t>
      </w:r>
    </w:p>
    <w:p w14:paraId="26956F67" w14:textId="2B240402" w:rsidR="00E63261" w:rsidRPr="00210160" w:rsidRDefault="00E63261" w:rsidP="00200453">
      <w:pPr>
        <w:pStyle w:val="Caption"/>
        <w:rPr>
          <w:lang w:val="en-US"/>
        </w:rPr>
      </w:pPr>
      <w:r w:rsidRPr="00210160">
        <w:rPr>
          <w:lang w:val="en-US"/>
        </w:rPr>
        <w:t xml:space="preserve">Table </w:t>
      </w:r>
      <w:r w:rsidRPr="00210160">
        <w:rPr>
          <w:lang w:val="en-US"/>
        </w:rPr>
        <w:fldChar w:fldCharType="begin"/>
      </w:r>
      <w:r w:rsidRPr="00210160">
        <w:rPr>
          <w:lang w:val="en-US"/>
        </w:rPr>
        <w:instrText xml:space="preserve"> SEQ Table \* ARABIC </w:instrText>
      </w:r>
      <w:r w:rsidRPr="00210160">
        <w:rPr>
          <w:lang w:val="en-US"/>
        </w:rPr>
        <w:fldChar w:fldCharType="separate"/>
      </w:r>
      <w:r w:rsidR="009A4B3A">
        <w:rPr>
          <w:noProof/>
          <w:lang w:val="en-US"/>
        </w:rPr>
        <w:t>4</w:t>
      </w:r>
      <w:r w:rsidRPr="00210160">
        <w:rPr>
          <w:lang w:val="en-US"/>
        </w:rPr>
        <w:fldChar w:fldCharType="end"/>
      </w:r>
      <w:bookmarkEnd w:id="172"/>
      <w:r w:rsidRPr="00210160">
        <w:rPr>
          <w:lang w:val="en-US"/>
        </w:rPr>
        <w:t>: Illustration of basic scenarios</w:t>
      </w:r>
      <w:r w:rsidRPr="00210160">
        <w:rPr>
          <w:lang w:val="en-US"/>
        </w:rPr>
        <w:br/>
      </w:r>
      <w:r w:rsidRPr="00210160">
        <w:rPr>
          <w:b w:val="0"/>
          <w:lang w:val="en-US"/>
        </w:rPr>
        <w:t>UL = underlying, IV = implied volatility, PC = principal component</w:t>
      </w:r>
    </w:p>
    <w:tbl>
      <w:tblPr>
        <w:tblStyle w:val="TableGrid"/>
        <w:tblW w:w="5000" w:type="pct"/>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887"/>
        <w:gridCol w:w="2034"/>
        <w:gridCol w:w="2035"/>
        <w:gridCol w:w="2035"/>
        <w:gridCol w:w="2035"/>
      </w:tblGrid>
      <w:tr w:rsidR="0031417E" w:rsidRPr="00210160" w14:paraId="1607EFD7" w14:textId="77777777" w:rsidTr="00991392">
        <w:tc>
          <w:tcPr>
            <w:tcW w:w="887" w:type="dxa"/>
            <w:shd w:val="clear" w:color="auto" w:fill="009EC2" w:themeFill="text2"/>
            <w:vAlign w:val="bottom"/>
          </w:tcPr>
          <w:p w14:paraId="68C2C372" w14:textId="77777777" w:rsidR="0031417E" w:rsidRPr="00210160" w:rsidRDefault="0031417E" w:rsidP="00CF5ED1">
            <w:pPr>
              <w:pStyle w:val="TableHeadingText"/>
              <w:keepNext/>
              <w:spacing w:before="0" w:after="0"/>
            </w:pPr>
            <w:proofErr w:type="spellStart"/>
            <w:r w:rsidRPr="00210160">
              <w:t>CCaR</w:t>
            </w:r>
            <w:proofErr w:type="spellEnd"/>
            <w:r w:rsidRPr="00210160">
              <w:t xml:space="preserve"> PA</w:t>
            </w:r>
          </w:p>
        </w:tc>
        <w:tc>
          <w:tcPr>
            <w:tcW w:w="2034" w:type="dxa"/>
            <w:shd w:val="clear" w:color="auto" w:fill="009EC2" w:themeFill="text2"/>
            <w:vAlign w:val="bottom"/>
          </w:tcPr>
          <w:p w14:paraId="12D0E71D" w14:textId="77777777" w:rsidR="0031417E" w:rsidRPr="00210160" w:rsidRDefault="0031417E" w:rsidP="00CF5ED1">
            <w:pPr>
              <w:pStyle w:val="TableHeadingText"/>
              <w:keepNext/>
              <w:spacing w:before="0" w:after="0"/>
            </w:pPr>
            <w:r w:rsidRPr="00210160">
              <w:t>Basic scenario 1</w:t>
            </w:r>
          </w:p>
        </w:tc>
        <w:tc>
          <w:tcPr>
            <w:tcW w:w="2035" w:type="dxa"/>
            <w:shd w:val="clear" w:color="auto" w:fill="009EC2" w:themeFill="text2"/>
            <w:vAlign w:val="bottom"/>
          </w:tcPr>
          <w:p w14:paraId="733EF489" w14:textId="77777777" w:rsidR="0031417E" w:rsidRPr="00210160" w:rsidRDefault="0031417E" w:rsidP="00CF5ED1">
            <w:pPr>
              <w:pStyle w:val="TableHeadingText"/>
              <w:keepNext/>
              <w:spacing w:before="0" w:after="0"/>
            </w:pPr>
            <w:r w:rsidRPr="00210160">
              <w:t>Basic scenario 2</w:t>
            </w:r>
          </w:p>
        </w:tc>
        <w:tc>
          <w:tcPr>
            <w:tcW w:w="2035" w:type="dxa"/>
            <w:shd w:val="clear" w:color="auto" w:fill="009EC2" w:themeFill="text2"/>
            <w:vAlign w:val="bottom"/>
          </w:tcPr>
          <w:p w14:paraId="51382407" w14:textId="77777777" w:rsidR="0031417E" w:rsidRPr="00210160" w:rsidRDefault="0031417E" w:rsidP="00CF5ED1">
            <w:pPr>
              <w:pStyle w:val="TableHeadingText"/>
              <w:keepNext/>
              <w:spacing w:before="0" w:after="0"/>
            </w:pPr>
            <w:r w:rsidRPr="00210160">
              <w:t>Basic scenario 3</w:t>
            </w:r>
          </w:p>
        </w:tc>
        <w:tc>
          <w:tcPr>
            <w:tcW w:w="2035" w:type="dxa"/>
            <w:shd w:val="clear" w:color="auto" w:fill="009EC2" w:themeFill="text2"/>
            <w:vAlign w:val="bottom"/>
          </w:tcPr>
          <w:p w14:paraId="71CB0EE9" w14:textId="77777777" w:rsidR="0031417E" w:rsidRPr="00210160" w:rsidRDefault="0031417E" w:rsidP="00CF5ED1">
            <w:pPr>
              <w:pStyle w:val="TableHeadingText"/>
              <w:keepNext/>
              <w:spacing w:before="0" w:after="0"/>
            </w:pPr>
            <w:r w:rsidRPr="00210160">
              <w:t>Basic scenario 4</w:t>
            </w:r>
          </w:p>
        </w:tc>
      </w:tr>
      <w:tr w:rsidR="0031417E" w:rsidRPr="00210160" w14:paraId="0CA20A61" w14:textId="77777777" w:rsidTr="00991392">
        <w:tc>
          <w:tcPr>
            <w:tcW w:w="887" w:type="dxa"/>
          </w:tcPr>
          <w:p w14:paraId="4988D3DC" w14:textId="77777777" w:rsidR="0031417E" w:rsidRPr="00210160" w:rsidRDefault="0031417E" w:rsidP="00CF5ED1">
            <w:pPr>
              <w:pStyle w:val="TableText"/>
              <w:keepNext/>
              <w:keepLines/>
              <w:spacing w:before="0" w:after="0"/>
            </w:pPr>
            <w:r w:rsidRPr="00210160">
              <w:t>Nordic stocks</w:t>
            </w:r>
          </w:p>
        </w:tc>
        <w:tc>
          <w:tcPr>
            <w:tcW w:w="2034" w:type="dxa"/>
          </w:tcPr>
          <w:p w14:paraId="21348713" w14:textId="1F97D6E4" w:rsidR="0031417E" w:rsidRPr="00210160" w:rsidRDefault="0031417E" w:rsidP="00CF5ED1">
            <w:pPr>
              <w:pStyle w:val="TableText"/>
              <w:keepNext/>
              <w:keepLines/>
              <w:spacing w:before="0" w:after="0"/>
            </w:pPr>
            <w:r w:rsidRPr="00210160">
              <w:t xml:space="preserve">UL up, </w:t>
            </w:r>
            <w:r w:rsidR="00961D23" w:rsidRPr="00210160">
              <w:t xml:space="preserve">worst of </w:t>
            </w:r>
            <w:r w:rsidRPr="00210160">
              <w:t>IV up/</w:t>
            </w:r>
            <w:r w:rsidR="00961D23" w:rsidRPr="00210160">
              <w:t>unchanged/</w:t>
            </w:r>
            <w:r w:rsidRPr="00210160">
              <w:t>down</w:t>
            </w:r>
          </w:p>
        </w:tc>
        <w:tc>
          <w:tcPr>
            <w:tcW w:w="2035" w:type="dxa"/>
          </w:tcPr>
          <w:p w14:paraId="772EA9CF" w14:textId="0189CE32" w:rsidR="0031417E" w:rsidRPr="00210160" w:rsidRDefault="0031417E" w:rsidP="00CF5ED1">
            <w:pPr>
              <w:pStyle w:val="TableText"/>
              <w:keepNext/>
              <w:keepLines/>
              <w:spacing w:before="0" w:after="0"/>
            </w:pPr>
            <w:r w:rsidRPr="00210160">
              <w:t xml:space="preserve">UL down, </w:t>
            </w:r>
            <w:r w:rsidR="00961D23" w:rsidRPr="00210160">
              <w:t xml:space="preserve">worst of </w:t>
            </w:r>
            <w:r w:rsidRPr="00210160">
              <w:t>IV up/</w:t>
            </w:r>
            <w:r w:rsidR="00961D23" w:rsidRPr="00210160">
              <w:t>unchanged/</w:t>
            </w:r>
            <w:r w:rsidRPr="00210160">
              <w:t>down</w:t>
            </w:r>
          </w:p>
        </w:tc>
        <w:tc>
          <w:tcPr>
            <w:tcW w:w="2035" w:type="dxa"/>
          </w:tcPr>
          <w:p w14:paraId="54355618" w14:textId="77777777" w:rsidR="0031417E" w:rsidRPr="00210160" w:rsidRDefault="0031417E" w:rsidP="00CF5ED1">
            <w:pPr>
              <w:pStyle w:val="TableText"/>
              <w:keepNext/>
              <w:keepLines/>
              <w:spacing w:before="0" w:after="0"/>
            </w:pPr>
            <w:r w:rsidRPr="00210160">
              <w:t>N/A</w:t>
            </w:r>
          </w:p>
        </w:tc>
        <w:tc>
          <w:tcPr>
            <w:tcW w:w="2035" w:type="dxa"/>
          </w:tcPr>
          <w:p w14:paraId="1D34C624" w14:textId="77777777" w:rsidR="0031417E" w:rsidRPr="00210160" w:rsidRDefault="0031417E" w:rsidP="00CF5ED1">
            <w:pPr>
              <w:pStyle w:val="TableText"/>
              <w:keepNext/>
              <w:keepLines/>
              <w:spacing w:before="0" w:after="0"/>
            </w:pPr>
            <w:r w:rsidRPr="00210160">
              <w:t>N/A</w:t>
            </w:r>
          </w:p>
        </w:tc>
      </w:tr>
      <w:tr w:rsidR="00961D23" w:rsidRPr="00210160" w14:paraId="4EA7A3F5" w14:textId="77777777" w:rsidTr="00991392">
        <w:tc>
          <w:tcPr>
            <w:tcW w:w="887" w:type="dxa"/>
          </w:tcPr>
          <w:p w14:paraId="422B557C" w14:textId="4C4330E9" w:rsidR="00961D23" w:rsidRPr="00210160" w:rsidRDefault="00961D23" w:rsidP="00CF5ED1">
            <w:pPr>
              <w:pStyle w:val="TableText"/>
              <w:keepNext/>
              <w:keepLines/>
              <w:spacing w:before="0" w:after="0"/>
            </w:pPr>
            <w:r w:rsidRPr="00210160">
              <w:t>Nordic bonds</w:t>
            </w:r>
          </w:p>
        </w:tc>
        <w:tc>
          <w:tcPr>
            <w:tcW w:w="2034" w:type="dxa"/>
          </w:tcPr>
          <w:p w14:paraId="137B586E" w14:textId="4B12F2BC" w:rsidR="00961D23" w:rsidRPr="00210160" w:rsidRDefault="00961D23" w:rsidP="00CF5ED1">
            <w:pPr>
              <w:pStyle w:val="TableText"/>
              <w:keepNext/>
              <w:keepLines/>
              <w:spacing w:before="0" w:after="0"/>
            </w:pPr>
            <w:r w:rsidRPr="00210160">
              <w:t>PC1 up, PC2 up, worst of IV up/ unchanged/down</w:t>
            </w:r>
          </w:p>
        </w:tc>
        <w:tc>
          <w:tcPr>
            <w:tcW w:w="2035" w:type="dxa"/>
          </w:tcPr>
          <w:p w14:paraId="7DFC3A64" w14:textId="0EA066C9" w:rsidR="00961D23" w:rsidRPr="00210160" w:rsidRDefault="00961D23" w:rsidP="00CF5ED1">
            <w:pPr>
              <w:pStyle w:val="TableText"/>
              <w:keepNext/>
              <w:keepLines/>
              <w:spacing w:before="0" w:after="0"/>
            </w:pPr>
            <w:r w:rsidRPr="00210160">
              <w:t>PC1 up, PC2 down, worst of IV up/ unchanged/down</w:t>
            </w:r>
          </w:p>
        </w:tc>
        <w:tc>
          <w:tcPr>
            <w:tcW w:w="2035" w:type="dxa"/>
          </w:tcPr>
          <w:p w14:paraId="505904A4" w14:textId="62A9D876" w:rsidR="00961D23" w:rsidRPr="00210160" w:rsidRDefault="00961D23" w:rsidP="00CF5ED1">
            <w:pPr>
              <w:pStyle w:val="TableText"/>
              <w:keepNext/>
              <w:keepLines/>
              <w:spacing w:before="0" w:after="0"/>
            </w:pPr>
            <w:r w:rsidRPr="00210160">
              <w:t>PC1 down, PC2 up, worst of IV up/unchanged/down</w:t>
            </w:r>
          </w:p>
        </w:tc>
        <w:tc>
          <w:tcPr>
            <w:tcW w:w="2035" w:type="dxa"/>
          </w:tcPr>
          <w:p w14:paraId="0213DA3A" w14:textId="28E20295" w:rsidR="00961D23" w:rsidRPr="00210160" w:rsidRDefault="00961D23" w:rsidP="00CF5ED1">
            <w:pPr>
              <w:pStyle w:val="TableText"/>
              <w:keepNext/>
              <w:keepLines/>
              <w:spacing w:before="0" w:after="0"/>
            </w:pPr>
            <w:r w:rsidRPr="00210160">
              <w:t>PC1 down, PC2 down, worst of IV up/unchanged/down</w:t>
            </w:r>
          </w:p>
        </w:tc>
      </w:tr>
    </w:tbl>
    <w:p w14:paraId="6DDB4643" w14:textId="38366726" w:rsidR="00190D21" w:rsidRPr="00210160" w:rsidRDefault="00190D21" w:rsidP="00060DA6">
      <w:pPr>
        <w:pStyle w:val="BodyText"/>
      </w:pPr>
    </w:p>
    <w:p w14:paraId="2A4EFB04" w14:textId="0C0318CE" w:rsidR="0031417E" w:rsidRPr="00210160" w:rsidRDefault="0031417E" w:rsidP="00CF2988">
      <w:pPr>
        <w:pStyle w:val="Heading4"/>
      </w:pPr>
      <w:r w:rsidRPr="00210160">
        <w:lastRenderedPageBreak/>
        <w:t>Final scenarios</w:t>
      </w:r>
    </w:p>
    <w:p w14:paraId="462AEA6A" w14:textId="77777777" w:rsidR="00190D21" w:rsidRPr="00210160" w:rsidRDefault="00190D21" w:rsidP="00190D21">
      <w:pPr>
        <w:pStyle w:val="BodyText"/>
        <w:rPr>
          <w:noProof w:val="0"/>
        </w:rPr>
      </w:pPr>
      <w:r w:rsidRPr="00210160">
        <w:rPr>
          <w:noProof w:val="0"/>
        </w:rPr>
        <w:t xml:space="preserve">Final scenarios are the hypothetical scenarios covering all Product Areas. Since there is no dependency assumed between different Product Areas, the final scenarios are derived by taking all possible combinations of basic scenarios for all different Product Areas within a default fund. </w:t>
      </w:r>
    </w:p>
    <w:p w14:paraId="687DB140" w14:textId="31A99BDC" w:rsidR="0031417E" w:rsidRPr="00210160" w:rsidRDefault="00190D21" w:rsidP="00190D21">
      <w:pPr>
        <w:pStyle w:val="BodyText"/>
        <w:rPr>
          <w:noProof w:val="0"/>
        </w:rPr>
      </w:pPr>
      <w:r w:rsidRPr="00210160">
        <w:rPr>
          <w:noProof w:val="0"/>
        </w:rPr>
        <w:t>The number of final scenarios is thus dependent on the number of Product Areas, and the number of basic scenarios per Product Area. For example, if there would be only two Product Areas and two different basic scenarios per Product Area, then 4 final scenarios would be created. A configuration with ten Product Areas and two basic scenarios per Product Area would yield 2^10 = 1024 final scenarios, and a configuration with ten Product Areas with four basic scenarios per P</w:t>
      </w:r>
      <w:r w:rsidR="00CF5ED1">
        <w:rPr>
          <w:noProof w:val="0"/>
        </w:rPr>
        <w:t xml:space="preserve">roduct </w:t>
      </w:r>
      <w:r w:rsidRPr="00210160">
        <w:rPr>
          <w:noProof w:val="0"/>
        </w:rPr>
        <w:t>A</w:t>
      </w:r>
      <w:r w:rsidR="00CF5ED1">
        <w:rPr>
          <w:noProof w:val="0"/>
        </w:rPr>
        <w:t>rea</w:t>
      </w:r>
      <w:r w:rsidRPr="00210160">
        <w:rPr>
          <w:noProof w:val="0"/>
        </w:rPr>
        <w:t xml:space="preserve"> would lead to 4</w:t>
      </w:r>
      <w:r w:rsidR="00CF5ED1">
        <w:rPr>
          <w:noProof w:val="0"/>
        </w:rPr>
        <w:t>^</w:t>
      </w:r>
      <w:r w:rsidRPr="00210160">
        <w:rPr>
          <w:noProof w:val="0"/>
        </w:rPr>
        <w:t xml:space="preserve">10 = 1048576 final scenarios. Given the approach where full independence is given between different </w:t>
      </w:r>
      <w:r w:rsidR="00CF5ED1">
        <w:rPr>
          <w:noProof w:val="0"/>
        </w:rPr>
        <w:t>P</w:t>
      </w:r>
      <w:r w:rsidRPr="00210160">
        <w:rPr>
          <w:noProof w:val="0"/>
        </w:rPr>
        <w:t xml:space="preserve">roduct </w:t>
      </w:r>
      <w:r w:rsidR="00CF5ED1">
        <w:rPr>
          <w:noProof w:val="0"/>
        </w:rPr>
        <w:t>A</w:t>
      </w:r>
      <w:r w:rsidRPr="00210160">
        <w:rPr>
          <w:noProof w:val="0"/>
        </w:rPr>
        <w:t>reas, the number of basic scenarios and Product Areas employed is an important consideration for computational efficiency.</w:t>
      </w:r>
      <w:r w:rsidR="00CF5ED1">
        <w:rPr>
          <w:noProof w:val="0"/>
        </w:rPr>
        <w:t xml:space="preserve"> </w:t>
      </w:r>
      <w:r w:rsidR="0031417E" w:rsidRPr="00210160">
        <w:rPr>
          <w:noProof w:val="0"/>
        </w:rPr>
        <w:t>The table below illustrates the construction of final scenarios.</w:t>
      </w:r>
    </w:p>
    <w:p w14:paraId="2076610A" w14:textId="374E9477" w:rsidR="00200453" w:rsidRPr="00210160" w:rsidRDefault="00200453" w:rsidP="00200453">
      <w:pPr>
        <w:pStyle w:val="Caption"/>
        <w:rPr>
          <w:lang w:val="en-US"/>
        </w:rPr>
      </w:pPr>
      <w:r w:rsidRPr="00210160">
        <w:rPr>
          <w:lang w:val="en-US"/>
        </w:rPr>
        <w:t xml:space="preserve">Table </w:t>
      </w:r>
      <w:r w:rsidRPr="00210160">
        <w:rPr>
          <w:lang w:val="en-US"/>
        </w:rPr>
        <w:fldChar w:fldCharType="begin"/>
      </w:r>
      <w:r w:rsidRPr="00210160">
        <w:rPr>
          <w:lang w:val="en-US"/>
        </w:rPr>
        <w:instrText xml:space="preserve"> SEQ Table \* ARABIC </w:instrText>
      </w:r>
      <w:r w:rsidRPr="00210160">
        <w:rPr>
          <w:lang w:val="en-US"/>
        </w:rPr>
        <w:fldChar w:fldCharType="separate"/>
      </w:r>
      <w:r w:rsidR="009A4B3A">
        <w:rPr>
          <w:noProof/>
          <w:lang w:val="en-US"/>
        </w:rPr>
        <w:t>5</w:t>
      </w:r>
      <w:r w:rsidRPr="00210160">
        <w:rPr>
          <w:lang w:val="en-US"/>
        </w:rPr>
        <w:fldChar w:fldCharType="end"/>
      </w:r>
      <w:r w:rsidRPr="00210160">
        <w:rPr>
          <w:lang w:val="en-US"/>
        </w:rPr>
        <w:t xml:space="preserve">: Illustration </w:t>
      </w:r>
      <w:r w:rsidR="00300F97">
        <w:rPr>
          <w:lang w:val="en-US"/>
        </w:rPr>
        <w:t xml:space="preserve">of </w:t>
      </w:r>
      <w:r w:rsidRPr="00210160">
        <w:rPr>
          <w:lang w:val="en-US"/>
        </w:rPr>
        <w:t>final scenarios</w:t>
      </w:r>
      <w:r w:rsidR="00DD4C79">
        <w:rPr>
          <w:lang w:val="en-US"/>
        </w:rPr>
        <w:t xml:space="preserve"> for</w:t>
      </w:r>
      <w:r w:rsidR="00300F97">
        <w:rPr>
          <w:lang w:val="en-US"/>
        </w:rPr>
        <w:t xml:space="preserve"> two</w:t>
      </w:r>
      <w:r w:rsidR="00DD4C79">
        <w:rPr>
          <w:lang w:val="en-US"/>
        </w:rPr>
        <w:t xml:space="preserve"> Product Areas</w:t>
      </w:r>
      <w:r w:rsidR="0076068D">
        <w:rPr>
          <w:lang w:val="en-US"/>
        </w:rPr>
        <w:t xml:space="preserve"> with two basic scenarios each</w:t>
      </w:r>
    </w:p>
    <w:tbl>
      <w:tblPr>
        <w:tblStyle w:val="TableGrid"/>
        <w:tblW w:w="5000" w:type="pct"/>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2699"/>
        <w:gridCol w:w="2876"/>
        <w:gridCol w:w="3451"/>
      </w:tblGrid>
      <w:tr w:rsidR="0031417E" w:rsidRPr="00210160" w14:paraId="35DB53C9" w14:textId="77777777" w:rsidTr="00190D21">
        <w:tc>
          <w:tcPr>
            <w:tcW w:w="2699" w:type="dxa"/>
            <w:shd w:val="clear" w:color="auto" w:fill="009EC2" w:themeFill="text2"/>
          </w:tcPr>
          <w:p w14:paraId="2F488846" w14:textId="77777777" w:rsidR="0031417E" w:rsidRPr="00210160" w:rsidRDefault="0031417E" w:rsidP="00CF5ED1">
            <w:pPr>
              <w:pStyle w:val="TableHeadingText"/>
              <w:spacing w:before="0" w:after="0"/>
            </w:pPr>
            <w:r w:rsidRPr="00210160">
              <w:t>Final scenario #</w:t>
            </w:r>
          </w:p>
        </w:tc>
        <w:tc>
          <w:tcPr>
            <w:tcW w:w="2876" w:type="dxa"/>
            <w:shd w:val="clear" w:color="auto" w:fill="009EC2" w:themeFill="text2"/>
          </w:tcPr>
          <w:p w14:paraId="0CA0BD66" w14:textId="77777777" w:rsidR="0031417E" w:rsidRPr="00210160" w:rsidRDefault="0031417E" w:rsidP="00CF5ED1">
            <w:pPr>
              <w:pStyle w:val="TableHeadingText"/>
              <w:spacing w:before="0" w:after="0"/>
            </w:pPr>
            <w:r w:rsidRPr="00210160">
              <w:t>PA 1</w:t>
            </w:r>
          </w:p>
        </w:tc>
        <w:tc>
          <w:tcPr>
            <w:tcW w:w="3451" w:type="dxa"/>
            <w:shd w:val="clear" w:color="auto" w:fill="009EC2" w:themeFill="text2"/>
          </w:tcPr>
          <w:p w14:paraId="0D8EAEFA" w14:textId="77777777" w:rsidR="0031417E" w:rsidRPr="00210160" w:rsidRDefault="0031417E" w:rsidP="00CF5ED1">
            <w:pPr>
              <w:pStyle w:val="TableHeadingText"/>
              <w:spacing w:before="0" w:after="0"/>
            </w:pPr>
            <w:r w:rsidRPr="00210160">
              <w:t>PA 2</w:t>
            </w:r>
          </w:p>
        </w:tc>
      </w:tr>
      <w:tr w:rsidR="0031417E" w:rsidRPr="00210160" w14:paraId="58C00232" w14:textId="77777777" w:rsidTr="00190D21">
        <w:tc>
          <w:tcPr>
            <w:tcW w:w="2699" w:type="dxa"/>
          </w:tcPr>
          <w:p w14:paraId="3A2A0AE1" w14:textId="77777777" w:rsidR="0031417E" w:rsidRPr="00210160" w:rsidRDefault="0031417E" w:rsidP="00CF5ED1">
            <w:pPr>
              <w:pStyle w:val="TableText"/>
              <w:spacing w:before="0" w:after="0"/>
            </w:pPr>
            <w:r w:rsidRPr="00210160">
              <w:t>1</w:t>
            </w:r>
          </w:p>
        </w:tc>
        <w:tc>
          <w:tcPr>
            <w:tcW w:w="2876" w:type="dxa"/>
          </w:tcPr>
          <w:p w14:paraId="79F030CD" w14:textId="3E21039D" w:rsidR="0031417E" w:rsidRPr="00210160" w:rsidRDefault="00DD4C79" w:rsidP="00CF5ED1">
            <w:pPr>
              <w:pStyle w:val="TableText"/>
              <w:spacing w:before="0" w:after="0"/>
            </w:pPr>
            <w:r>
              <w:t>Basic scenario 1</w:t>
            </w:r>
          </w:p>
        </w:tc>
        <w:tc>
          <w:tcPr>
            <w:tcW w:w="3451" w:type="dxa"/>
          </w:tcPr>
          <w:p w14:paraId="0E8D2B3A" w14:textId="1394825E" w:rsidR="0031417E" w:rsidRPr="00210160" w:rsidRDefault="0076068D" w:rsidP="00CF5ED1">
            <w:pPr>
              <w:pStyle w:val="TableText"/>
              <w:spacing w:before="0" w:after="0"/>
            </w:pPr>
            <w:r>
              <w:t>Basic scenario 1</w:t>
            </w:r>
          </w:p>
        </w:tc>
      </w:tr>
      <w:tr w:rsidR="0031417E" w:rsidRPr="00210160" w14:paraId="36B5635B" w14:textId="77777777" w:rsidTr="00190D21">
        <w:tc>
          <w:tcPr>
            <w:tcW w:w="2699" w:type="dxa"/>
          </w:tcPr>
          <w:p w14:paraId="592125DC" w14:textId="77777777" w:rsidR="0031417E" w:rsidRPr="00210160" w:rsidRDefault="0031417E" w:rsidP="00CF5ED1">
            <w:pPr>
              <w:pStyle w:val="TableText"/>
              <w:spacing w:before="0" w:after="0"/>
            </w:pPr>
            <w:r w:rsidRPr="00210160">
              <w:t>2</w:t>
            </w:r>
          </w:p>
        </w:tc>
        <w:tc>
          <w:tcPr>
            <w:tcW w:w="2876" w:type="dxa"/>
          </w:tcPr>
          <w:p w14:paraId="67B63FC3" w14:textId="435A0BF1" w:rsidR="0031417E" w:rsidRPr="00210160" w:rsidRDefault="0076068D" w:rsidP="00CF5ED1">
            <w:pPr>
              <w:pStyle w:val="TableText"/>
              <w:spacing w:before="0" w:after="0"/>
            </w:pPr>
            <w:r>
              <w:t>Basic scenario 1</w:t>
            </w:r>
          </w:p>
        </w:tc>
        <w:tc>
          <w:tcPr>
            <w:tcW w:w="3451" w:type="dxa"/>
          </w:tcPr>
          <w:p w14:paraId="55B909AF" w14:textId="51166F5D" w:rsidR="0031417E" w:rsidRPr="00210160" w:rsidRDefault="0076068D" w:rsidP="00CF5ED1">
            <w:pPr>
              <w:pStyle w:val="TableText"/>
              <w:spacing w:before="0" w:after="0"/>
            </w:pPr>
            <w:r>
              <w:t>Basic scenario 2</w:t>
            </w:r>
          </w:p>
        </w:tc>
      </w:tr>
      <w:tr w:rsidR="0031417E" w:rsidRPr="00210160" w14:paraId="3AEEF71C" w14:textId="77777777" w:rsidTr="00190D21">
        <w:tc>
          <w:tcPr>
            <w:tcW w:w="2699" w:type="dxa"/>
          </w:tcPr>
          <w:p w14:paraId="67B1594C" w14:textId="77777777" w:rsidR="0031417E" w:rsidRPr="00210160" w:rsidRDefault="0031417E" w:rsidP="00CF5ED1">
            <w:pPr>
              <w:pStyle w:val="TableText"/>
              <w:spacing w:before="0" w:after="0"/>
            </w:pPr>
            <w:r w:rsidRPr="00210160">
              <w:t>3</w:t>
            </w:r>
          </w:p>
        </w:tc>
        <w:tc>
          <w:tcPr>
            <w:tcW w:w="2876" w:type="dxa"/>
          </w:tcPr>
          <w:p w14:paraId="19BB9E24" w14:textId="78040647" w:rsidR="0031417E" w:rsidRPr="00210160" w:rsidRDefault="0076068D" w:rsidP="00CF5ED1">
            <w:pPr>
              <w:pStyle w:val="TableText"/>
              <w:spacing w:before="0" w:after="0"/>
            </w:pPr>
            <w:r>
              <w:t>Basic scenario 2</w:t>
            </w:r>
          </w:p>
        </w:tc>
        <w:tc>
          <w:tcPr>
            <w:tcW w:w="3451" w:type="dxa"/>
          </w:tcPr>
          <w:p w14:paraId="4DAE8346" w14:textId="4D71D2BE" w:rsidR="0031417E" w:rsidRPr="00210160" w:rsidRDefault="0076068D" w:rsidP="00CF5ED1">
            <w:pPr>
              <w:pStyle w:val="TableText"/>
              <w:spacing w:before="0" w:after="0"/>
            </w:pPr>
            <w:r>
              <w:t>Basic scenario 1</w:t>
            </w:r>
          </w:p>
        </w:tc>
      </w:tr>
      <w:tr w:rsidR="0031417E" w:rsidRPr="00210160" w14:paraId="5088BD84" w14:textId="77777777" w:rsidTr="00190D21">
        <w:tc>
          <w:tcPr>
            <w:tcW w:w="2699" w:type="dxa"/>
          </w:tcPr>
          <w:p w14:paraId="7C8ACF79" w14:textId="77777777" w:rsidR="0031417E" w:rsidRPr="00210160" w:rsidRDefault="0031417E" w:rsidP="00CF5ED1">
            <w:pPr>
              <w:pStyle w:val="TableText"/>
              <w:spacing w:before="0" w:after="0"/>
            </w:pPr>
            <w:r w:rsidRPr="00210160">
              <w:t>4</w:t>
            </w:r>
          </w:p>
        </w:tc>
        <w:tc>
          <w:tcPr>
            <w:tcW w:w="2876" w:type="dxa"/>
          </w:tcPr>
          <w:p w14:paraId="74466125" w14:textId="22AEB418" w:rsidR="0031417E" w:rsidRPr="00210160" w:rsidRDefault="00C03994" w:rsidP="00CF5ED1">
            <w:pPr>
              <w:pStyle w:val="TableText"/>
              <w:spacing w:before="0" w:after="0"/>
            </w:pPr>
            <w:r>
              <w:t>Basic scenario 2</w:t>
            </w:r>
          </w:p>
        </w:tc>
        <w:tc>
          <w:tcPr>
            <w:tcW w:w="3451" w:type="dxa"/>
          </w:tcPr>
          <w:p w14:paraId="4B09C2F3" w14:textId="233FB3DE" w:rsidR="0031417E" w:rsidRPr="00210160" w:rsidRDefault="00C03994" w:rsidP="00CF5ED1">
            <w:pPr>
              <w:pStyle w:val="TableText"/>
              <w:spacing w:before="0" w:after="0"/>
            </w:pPr>
            <w:r>
              <w:t>Basic scenario 2</w:t>
            </w:r>
          </w:p>
        </w:tc>
      </w:tr>
    </w:tbl>
    <w:p w14:paraId="053CDC4F" w14:textId="77777777" w:rsidR="00125DEE" w:rsidRDefault="00125DEE" w:rsidP="00190D21"/>
    <w:p w14:paraId="122F51DB" w14:textId="1B460149" w:rsidR="00190D21" w:rsidRPr="00210160" w:rsidRDefault="00190D21" w:rsidP="00190D21">
      <w:r w:rsidRPr="00210160">
        <w:t xml:space="preserve">Final scenario “stressed market value” – i.e. P&amp;L impact of the scenario on the portfolio (MCA), is then compared with the IM for the portfolio to calculate the </w:t>
      </w:r>
      <w:proofErr w:type="spellStart"/>
      <w:r w:rsidRPr="00210160">
        <w:t>CCaR</w:t>
      </w:r>
      <w:proofErr w:type="spellEnd"/>
      <w:r w:rsidRPr="00210160">
        <w:t xml:space="preserve"> per MCA.</w:t>
      </w:r>
    </w:p>
    <w:p w14:paraId="72578675" w14:textId="249DBCDE" w:rsidR="00190D21" w:rsidRPr="00210160" w:rsidRDefault="00190D21" w:rsidP="00190D21">
      <w:r w:rsidRPr="00210160">
        <w:t xml:space="preserve">The </w:t>
      </w:r>
      <w:proofErr w:type="spellStart"/>
      <w:r w:rsidRPr="00210160">
        <w:t>CCaR</w:t>
      </w:r>
      <w:proofErr w:type="spellEnd"/>
      <w:r w:rsidRPr="00210160">
        <w:t xml:space="preserve"> per MCA is calculated in the instrument currency</w:t>
      </w:r>
      <w:r w:rsidR="00AC0D1C">
        <w:t xml:space="preserve">. </w:t>
      </w:r>
      <w:r w:rsidRPr="00210160">
        <w:t xml:space="preserve">The next steps, applying FX risk per collateral account (MRA) and aggregating all account losses to clearing member level, are outlined in Section </w:t>
      </w:r>
      <w:r w:rsidRPr="00210160">
        <w:fldChar w:fldCharType="begin"/>
      </w:r>
      <w:r w:rsidRPr="00210160">
        <w:instrText xml:space="preserve"> REF _Ref41579853 \r \h </w:instrText>
      </w:r>
      <w:r w:rsidRPr="00210160">
        <w:fldChar w:fldCharType="separate"/>
      </w:r>
      <w:r w:rsidR="009A4B3A">
        <w:t>5.4</w:t>
      </w:r>
      <w:r w:rsidRPr="00210160">
        <w:fldChar w:fldCharType="end"/>
      </w:r>
      <w:r w:rsidRPr="00210160">
        <w:t>.</w:t>
      </w:r>
    </w:p>
    <w:p w14:paraId="681647B2" w14:textId="78225123" w:rsidR="000D70A1" w:rsidRPr="00F3264A" w:rsidRDefault="004258C6" w:rsidP="0001225E">
      <w:pPr>
        <w:pStyle w:val="Heading3"/>
      </w:pPr>
      <w:bookmarkStart w:id="173" w:name="_Ref42501809"/>
      <w:r w:rsidRPr="00F3264A">
        <w:t>Portfolio liquidation cost</w:t>
      </w:r>
      <w:bookmarkEnd w:id="173"/>
    </w:p>
    <w:p w14:paraId="22D0142C" w14:textId="37D6E3C4" w:rsidR="00AC688D" w:rsidRDefault="00AC688D" w:rsidP="00AC688D">
      <w:pPr>
        <w:pStyle w:val="BodyText"/>
        <w:rPr>
          <w:noProof w:val="0"/>
        </w:rPr>
      </w:pPr>
      <w:r>
        <w:rPr>
          <w:noProof w:val="0"/>
        </w:rPr>
        <w:t xml:space="preserve">Before proceeding in this section, it is useful to note that the </w:t>
      </w:r>
      <w:r w:rsidR="00EC5F05">
        <w:rPr>
          <w:noProof w:val="0"/>
        </w:rPr>
        <w:t>c</w:t>
      </w:r>
      <w:r>
        <w:rPr>
          <w:noProof w:val="0"/>
        </w:rPr>
        <w:t xml:space="preserve">oncentration </w:t>
      </w:r>
      <w:r w:rsidR="00EC5F05">
        <w:rPr>
          <w:noProof w:val="0"/>
        </w:rPr>
        <w:t>a</w:t>
      </w:r>
      <w:r>
        <w:rPr>
          <w:noProof w:val="0"/>
        </w:rPr>
        <w:t xml:space="preserve">dd-ons </w:t>
      </w:r>
      <w:r w:rsidR="00EC5F05">
        <w:rPr>
          <w:noProof w:val="0"/>
        </w:rPr>
        <w:t xml:space="preserve">included as part of </w:t>
      </w:r>
      <w:r>
        <w:rPr>
          <w:noProof w:val="0"/>
        </w:rPr>
        <w:t xml:space="preserve">initial margin are reflected as part of the </w:t>
      </w:r>
      <w:r w:rsidR="00176078">
        <w:rPr>
          <w:noProof w:val="0"/>
        </w:rPr>
        <w:t xml:space="preserve">calculated </w:t>
      </w:r>
      <w:r>
        <w:rPr>
          <w:noProof w:val="0"/>
        </w:rPr>
        <w:t xml:space="preserve">stress </w:t>
      </w:r>
      <w:r w:rsidR="00176078">
        <w:rPr>
          <w:noProof w:val="0"/>
        </w:rPr>
        <w:t xml:space="preserve">loss </w:t>
      </w:r>
      <w:r>
        <w:rPr>
          <w:noProof w:val="0"/>
        </w:rPr>
        <w:t xml:space="preserve">as well. A portfolio that has a concentration add-on (in the Initial Margin sense) assigned to it, also has a corresponding </w:t>
      </w:r>
      <w:r w:rsidR="00EC5F05">
        <w:rPr>
          <w:noProof w:val="0"/>
        </w:rPr>
        <w:t>liquidation cost</w:t>
      </w:r>
      <w:r>
        <w:rPr>
          <w:noProof w:val="0"/>
        </w:rPr>
        <w:t xml:space="preserve"> (in the </w:t>
      </w:r>
      <w:proofErr w:type="spellStart"/>
      <w:r>
        <w:rPr>
          <w:noProof w:val="0"/>
        </w:rPr>
        <w:t>CCaR</w:t>
      </w:r>
      <w:proofErr w:type="spellEnd"/>
      <w:r>
        <w:rPr>
          <w:noProof w:val="0"/>
        </w:rPr>
        <w:t>/</w:t>
      </w:r>
      <w:r w:rsidR="00176078">
        <w:rPr>
          <w:noProof w:val="0"/>
        </w:rPr>
        <w:t>s</w:t>
      </w:r>
      <w:r>
        <w:rPr>
          <w:noProof w:val="0"/>
        </w:rPr>
        <w:t>tressed sense) assigned to it of the same magnitude, causing the two quantities to effectively cancel from the loss-beyond-margin calculations.</w:t>
      </w:r>
      <w:r w:rsidR="00EC5F05" w:rsidRPr="00EC5F05">
        <w:rPr>
          <w:noProof w:val="0"/>
        </w:rPr>
        <w:t xml:space="preserve"> </w:t>
      </w:r>
      <w:r w:rsidR="00EC5F05">
        <w:rPr>
          <w:noProof w:val="0"/>
        </w:rPr>
        <w:t>The rationale behind this is that the liquid</w:t>
      </w:r>
      <w:r w:rsidR="00763477">
        <w:rPr>
          <w:noProof w:val="0"/>
        </w:rPr>
        <w:t>ity</w:t>
      </w:r>
      <w:r w:rsidR="00EC5F05">
        <w:rPr>
          <w:noProof w:val="0"/>
        </w:rPr>
        <w:t xml:space="preserve"> haircuts </w:t>
      </w:r>
      <w:r w:rsidR="009366E8">
        <w:rPr>
          <w:noProof w:val="0"/>
        </w:rPr>
        <w:t>used i</w:t>
      </w:r>
      <w:r w:rsidR="00EC5F05">
        <w:rPr>
          <w:noProof w:val="0"/>
        </w:rPr>
        <w:t xml:space="preserve">n the </w:t>
      </w:r>
      <w:r w:rsidR="00763477">
        <w:rPr>
          <w:noProof w:val="0"/>
        </w:rPr>
        <w:t xml:space="preserve">calculation of the </w:t>
      </w:r>
      <w:r w:rsidR="00EC5F05">
        <w:rPr>
          <w:noProof w:val="0"/>
        </w:rPr>
        <w:t xml:space="preserve">concentration add-on are calibrated to </w:t>
      </w:r>
      <w:r w:rsidR="00763477">
        <w:rPr>
          <w:noProof w:val="0"/>
        </w:rPr>
        <w:t xml:space="preserve">represent the cost to liquidate </w:t>
      </w:r>
      <w:r w:rsidR="00EC5F05">
        <w:rPr>
          <w:noProof w:val="0"/>
        </w:rPr>
        <w:t>concentrated positions under stress</w:t>
      </w:r>
      <w:r w:rsidR="00763477">
        <w:rPr>
          <w:noProof w:val="0"/>
        </w:rPr>
        <w:t>ed conditions</w:t>
      </w:r>
      <w:r w:rsidR="00EC5F05">
        <w:rPr>
          <w:noProof w:val="0"/>
        </w:rPr>
        <w:t>.</w:t>
      </w:r>
      <w:r w:rsidR="00EC5F05" w:rsidRPr="00210160">
        <w:rPr>
          <w:noProof w:val="0"/>
        </w:rPr>
        <w:t xml:space="preserve"> </w:t>
      </w:r>
    </w:p>
    <w:p w14:paraId="2CC68D57" w14:textId="07FAF457" w:rsidR="00D33030" w:rsidRDefault="00D33030" w:rsidP="00D33030">
      <w:pPr>
        <w:pStyle w:val="BodyText"/>
        <w:rPr>
          <w:noProof w:val="0"/>
        </w:rPr>
      </w:pPr>
      <w:r>
        <w:rPr>
          <w:noProof w:val="0"/>
        </w:rPr>
        <w:t xml:space="preserve">The base liquidation cost (i.e. bid/ask spread margin component) applied as part of the Initial Margin is also included as part of the SMV component in the stress loss calculation in the </w:t>
      </w:r>
      <w:proofErr w:type="spellStart"/>
      <w:r>
        <w:rPr>
          <w:noProof w:val="0"/>
        </w:rPr>
        <w:t>CCaR</w:t>
      </w:r>
      <w:proofErr w:type="spellEnd"/>
      <w:r>
        <w:rPr>
          <w:noProof w:val="0"/>
        </w:rPr>
        <w:t xml:space="preserve"> model</w:t>
      </w:r>
      <w:r w:rsidR="00763477">
        <w:rPr>
          <w:noProof w:val="0"/>
        </w:rPr>
        <w:t xml:space="preserve">, hence this component also </w:t>
      </w:r>
      <w:proofErr w:type="gramStart"/>
      <w:r w:rsidR="00763477">
        <w:rPr>
          <w:noProof w:val="0"/>
        </w:rPr>
        <w:t>cancel</w:t>
      </w:r>
      <w:proofErr w:type="gramEnd"/>
      <w:r w:rsidR="00763477">
        <w:rPr>
          <w:noProof w:val="0"/>
        </w:rPr>
        <w:t xml:space="preserve"> in the loss-beyond-margin calculation.</w:t>
      </w:r>
    </w:p>
    <w:p w14:paraId="23A2A57E" w14:textId="14649320" w:rsidR="00AC688D" w:rsidRPr="00210160" w:rsidRDefault="00AC688D" w:rsidP="00AC688D">
      <w:pPr>
        <w:pStyle w:val="BodyText"/>
        <w:rPr>
          <w:noProof w:val="0"/>
        </w:rPr>
      </w:pPr>
      <w:r>
        <w:rPr>
          <w:noProof w:val="0"/>
        </w:rPr>
        <w:t>There are two other mechanisms by which l</w:t>
      </w:r>
      <w:r w:rsidRPr="00210160">
        <w:rPr>
          <w:noProof w:val="0"/>
        </w:rPr>
        <w:t xml:space="preserve">iquidation cost </w:t>
      </w:r>
      <w:r w:rsidR="00763477">
        <w:rPr>
          <w:noProof w:val="0"/>
        </w:rPr>
        <w:t>is</w:t>
      </w:r>
      <w:r w:rsidRPr="00210160">
        <w:rPr>
          <w:noProof w:val="0"/>
        </w:rPr>
        <w:t xml:space="preserve"> accounted for in the </w:t>
      </w:r>
      <w:proofErr w:type="spellStart"/>
      <w:r w:rsidR="006B3B1C">
        <w:rPr>
          <w:noProof w:val="0"/>
        </w:rPr>
        <w:t>CCaR</w:t>
      </w:r>
      <w:proofErr w:type="spellEnd"/>
      <w:r w:rsidR="006B3B1C">
        <w:rPr>
          <w:noProof w:val="0"/>
        </w:rPr>
        <w:t xml:space="preserve"> </w:t>
      </w:r>
      <w:r w:rsidRPr="00210160">
        <w:rPr>
          <w:noProof w:val="0"/>
        </w:rPr>
        <w:t>model</w:t>
      </w:r>
      <w:r w:rsidR="00763477">
        <w:rPr>
          <w:noProof w:val="0"/>
        </w:rPr>
        <w:t>,</w:t>
      </w:r>
      <w:r w:rsidRPr="00210160">
        <w:rPr>
          <w:noProof w:val="0"/>
        </w:rPr>
        <w:t xml:space="preserve"> </w:t>
      </w:r>
      <w:proofErr w:type="gramStart"/>
      <w:r w:rsidRPr="00210160">
        <w:rPr>
          <w:noProof w:val="0"/>
        </w:rPr>
        <w:t>in order to</w:t>
      </w:r>
      <w:proofErr w:type="gramEnd"/>
      <w:r w:rsidRPr="00210160">
        <w:rPr>
          <w:noProof w:val="0"/>
        </w:rPr>
        <w:t xml:space="preserve"> capture the</w:t>
      </w:r>
      <w:r>
        <w:rPr>
          <w:noProof w:val="0"/>
        </w:rPr>
        <w:t xml:space="preserve"> potentially</w:t>
      </w:r>
      <w:r w:rsidRPr="00210160">
        <w:rPr>
          <w:noProof w:val="0"/>
        </w:rPr>
        <w:t xml:space="preserve"> increased liquidation cost </w:t>
      </w:r>
      <w:r w:rsidR="00763477">
        <w:rPr>
          <w:noProof w:val="0"/>
        </w:rPr>
        <w:t xml:space="preserve">faced during close-out of a portfolio </w:t>
      </w:r>
      <w:r w:rsidRPr="00210160">
        <w:rPr>
          <w:noProof w:val="0"/>
        </w:rPr>
        <w:t xml:space="preserve">under </w:t>
      </w:r>
      <w:r>
        <w:rPr>
          <w:noProof w:val="0"/>
        </w:rPr>
        <w:t>extreme but plausible market conditions:</w:t>
      </w:r>
    </w:p>
    <w:p w14:paraId="31B38D85" w14:textId="5B5D2E90" w:rsidR="00AC688D" w:rsidRPr="00210160" w:rsidRDefault="00AC688D" w:rsidP="00AC688D">
      <w:pPr>
        <w:pStyle w:val="Bullets"/>
        <w:rPr>
          <w:noProof w:val="0"/>
          <w:lang w:val="en-US"/>
        </w:rPr>
      </w:pPr>
      <w:r w:rsidRPr="00210160">
        <w:rPr>
          <w:noProof w:val="0"/>
          <w:lang w:val="en-US"/>
        </w:rPr>
        <w:t>“</w:t>
      </w:r>
      <w:r w:rsidR="00294239">
        <w:rPr>
          <w:noProof w:val="0"/>
          <w:lang w:val="en-US"/>
        </w:rPr>
        <w:t>S</w:t>
      </w:r>
      <w:r w:rsidRPr="00210160">
        <w:rPr>
          <w:noProof w:val="0"/>
          <w:lang w:val="en-US"/>
        </w:rPr>
        <w:t xml:space="preserve">tressed </w:t>
      </w:r>
      <w:r w:rsidR="00294239">
        <w:rPr>
          <w:noProof w:val="0"/>
          <w:lang w:val="en-US"/>
        </w:rPr>
        <w:t>B</w:t>
      </w:r>
      <w:r w:rsidRPr="00210160">
        <w:rPr>
          <w:noProof w:val="0"/>
          <w:lang w:val="en-US"/>
        </w:rPr>
        <w:t xml:space="preserve">ase </w:t>
      </w:r>
      <w:r w:rsidR="00294239">
        <w:rPr>
          <w:noProof w:val="0"/>
          <w:lang w:val="en-US"/>
        </w:rPr>
        <w:t>L</w:t>
      </w:r>
      <w:r w:rsidRPr="00210160">
        <w:rPr>
          <w:noProof w:val="0"/>
          <w:lang w:val="en-US"/>
        </w:rPr>
        <w:t xml:space="preserve">iquidation </w:t>
      </w:r>
      <w:r w:rsidR="00294239">
        <w:rPr>
          <w:noProof w:val="0"/>
          <w:lang w:val="en-US"/>
        </w:rPr>
        <w:t>C</w:t>
      </w:r>
      <w:r w:rsidRPr="00210160">
        <w:rPr>
          <w:noProof w:val="0"/>
          <w:lang w:val="en-US"/>
        </w:rPr>
        <w:t xml:space="preserve">ost” </w:t>
      </w:r>
      <w:r w:rsidR="00294239">
        <w:rPr>
          <w:noProof w:val="0"/>
          <w:lang w:val="en-US"/>
        </w:rPr>
        <w:t xml:space="preserve">(SBLC) </w:t>
      </w:r>
      <w:r w:rsidRPr="00210160">
        <w:rPr>
          <w:noProof w:val="0"/>
          <w:lang w:val="en-US"/>
        </w:rPr>
        <w:t xml:space="preserve">– </w:t>
      </w:r>
      <w:r w:rsidR="006B3B1C">
        <w:rPr>
          <w:noProof w:val="0"/>
          <w:lang w:val="en-US"/>
        </w:rPr>
        <w:t>to ensure that</w:t>
      </w:r>
      <w:r w:rsidRPr="00210160">
        <w:rPr>
          <w:noProof w:val="0"/>
          <w:lang w:val="en-US"/>
        </w:rPr>
        <w:t xml:space="preserve"> all positions</w:t>
      </w:r>
      <w:r w:rsidR="006B3B1C">
        <w:rPr>
          <w:noProof w:val="0"/>
          <w:lang w:val="en-US"/>
        </w:rPr>
        <w:t>, in stress loss calculation</w:t>
      </w:r>
      <w:r w:rsidR="00EC5F05">
        <w:rPr>
          <w:noProof w:val="0"/>
          <w:lang w:val="en-US"/>
        </w:rPr>
        <w:t>s</w:t>
      </w:r>
      <w:r w:rsidR="006B3B1C">
        <w:rPr>
          <w:noProof w:val="0"/>
          <w:lang w:val="en-US"/>
        </w:rPr>
        <w:t xml:space="preserve">, at minimum </w:t>
      </w:r>
      <w:r w:rsidRPr="00210160">
        <w:rPr>
          <w:noProof w:val="0"/>
          <w:lang w:val="en-US"/>
        </w:rPr>
        <w:t xml:space="preserve">are </w:t>
      </w:r>
      <w:r w:rsidR="006B3B1C">
        <w:rPr>
          <w:noProof w:val="0"/>
          <w:lang w:val="en-US"/>
        </w:rPr>
        <w:t>charged</w:t>
      </w:r>
      <w:r w:rsidRPr="00210160">
        <w:rPr>
          <w:noProof w:val="0"/>
          <w:lang w:val="en-US"/>
        </w:rPr>
        <w:t xml:space="preserve"> a liquidation cost equivalent to the lowest level of </w:t>
      </w:r>
      <w:r w:rsidR="003767C3">
        <w:rPr>
          <w:noProof w:val="0"/>
          <w:lang w:val="en-US"/>
        </w:rPr>
        <w:lastRenderedPageBreak/>
        <w:t>liquidity</w:t>
      </w:r>
      <w:r w:rsidRPr="00210160">
        <w:rPr>
          <w:noProof w:val="0"/>
          <w:lang w:val="en-US"/>
        </w:rPr>
        <w:t xml:space="preserve"> </w:t>
      </w:r>
      <w:r w:rsidR="006B3B1C">
        <w:rPr>
          <w:noProof w:val="0"/>
          <w:lang w:val="en-US"/>
        </w:rPr>
        <w:t xml:space="preserve">haircut </w:t>
      </w:r>
      <w:r>
        <w:rPr>
          <w:noProof w:val="0"/>
          <w:lang w:val="en-US"/>
        </w:rPr>
        <w:t xml:space="preserve">used </w:t>
      </w:r>
      <w:r w:rsidRPr="00210160">
        <w:rPr>
          <w:noProof w:val="0"/>
          <w:lang w:val="en-US"/>
        </w:rPr>
        <w:t>in the</w:t>
      </w:r>
      <w:r>
        <w:rPr>
          <w:noProof w:val="0"/>
          <w:lang w:val="en-US"/>
        </w:rPr>
        <w:t xml:space="preserve"> </w:t>
      </w:r>
      <w:r w:rsidRPr="00210160">
        <w:rPr>
          <w:noProof w:val="0"/>
          <w:lang w:val="en-US"/>
        </w:rPr>
        <w:t>concentration</w:t>
      </w:r>
      <w:r w:rsidR="003767C3">
        <w:rPr>
          <w:noProof w:val="0"/>
          <w:lang w:val="en-US"/>
        </w:rPr>
        <w:t xml:space="preserve"> margin</w:t>
      </w:r>
      <w:r w:rsidRPr="00210160">
        <w:rPr>
          <w:noProof w:val="0"/>
          <w:lang w:val="en-US"/>
        </w:rPr>
        <w:t xml:space="preserve"> </w:t>
      </w:r>
      <w:r w:rsidR="00176078">
        <w:rPr>
          <w:noProof w:val="0"/>
          <w:lang w:val="en-US"/>
        </w:rPr>
        <w:t>calculation</w:t>
      </w:r>
      <w:r w:rsidR="006B3B1C">
        <w:rPr>
          <w:noProof w:val="0"/>
          <w:lang w:val="en-US"/>
        </w:rPr>
        <w:t>.</w:t>
      </w:r>
      <w:r w:rsidR="00EC5F05">
        <w:rPr>
          <w:noProof w:val="0"/>
          <w:lang w:val="en-US"/>
        </w:rPr>
        <w:t xml:space="preserve"> For positions w</w:t>
      </w:r>
      <w:r w:rsidR="003767C3">
        <w:rPr>
          <w:noProof w:val="0"/>
          <w:lang w:val="en-US"/>
        </w:rPr>
        <w:t>h</w:t>
      </w:r>
      <w:r w:rsidR="00EC5F05">
        <w:rPr>
          <w:noProof w:val="0"/>
          <w:lang w:val="en-US"/>
        </w:rPr>
        <w:t xml:space="preserve">ere the concentration margin add-on (charged as part of Initial Margin) is either zero or below the liquidation cost corresponding to the lowest level of </w:t>
      </w:r>
      <w:r w:rsidR="003767C3">
        <w:rPr>
          <w:noProof w:val="0"/>
          <w:lang w:val="en-US"/>
        </w:rPr>
        <w:t>liquidity</w:t>
      </w:r>
      <w:r w:rsidR="00EC5F05">
        <w:rPr>
          <w:noProof w:val="0"/>
          <w:lang w:val="en-US"/>
        </w:rPr>
        <w:t xml:space="preserve"> haircut, the </w:t>
      </w:r>
      <w:r w:rsidR="00294239">
        <w:rPr>
          <w:noProof w:val="0"/>
          <w:lang w:val="en-US"/>
        </w:rPr>
        <w:t>SBLC</w:t>
      </w:r>
      <w:r w:rsidR="00EC5F05">
        <w:rPr>
          <w:noProof w:val="0"/>
          <w:lang w:val="en-US"/>
        </w:rPr>
        <w:t xml:space="preserve"> will be greater than the concentration add-on and </w:t>
      </w:r>
      <w:r w:rsidR="00294239">
        <w:rPr>
          <w:noProof w:val="0"/>
          <w:lang w:val="en-US"/>
        </w:rPr>
        <w:t>thus, for these position</w:t>
      </w:r>
      <w:r w:rsidR="00A90C7F">
        <w:rPr>
          <w:noProof w:val="0"/>
          <w:lang w:val="en-US"/>
        </w:rPr>
        <w:t>s</w:t>
      </w:r>
      <w:r w:rsidR="00294239">
        <w:rPr>
          <w:noProof w:val="0"/>
          <w:lang w:val="en-US"/>
        </w:rPr>
        <w:t xml:space="preserve">, </w:t>
      </w:r>
      <w:r w:rsidR="00EC5F05">
        <w:rPr>
          <w:noProof w:val="0"/>
          <w:lang w:val="en-US"/>
        </w:rPr>
        <w:t>this</w:t>
      </w:r>
      <w:r w:rsidR="00294239">
        <w:rPr>
          <w:noProof w:val="0"/>
          <w:lang w:val="en-US"/>
        </w:rPr>
        <w:t xml:space="preserve"> will</w:t>
      </w:r>
      <w:r w:rsidR="00EC5F05">
        <w:rPr>
          <w:noProof w:val="0"/>
          <w:lang w:val="en-US"/>
        </w:rPr>
        <w:t xml:space="preserve"> have an impact on the loss-beyond-margin calculation. </w:t>
      </w:r>
      <w:r w:rsidR="00176078">
        <w:rPr>
          <w:noProof w:val="0"/>
          <w:lang w:val="en-US"/>
        </w:rPr>
        <w:t>Note however that p</w:t>
      </w:r>
      <w:r w:rsidR="00C02107">
        <w:rPr>
          <w:noProof w:val="0"/>
          <w:lang w:val="en-US"/>
        </w:rPr>
        <w:t xml:space="preserve">ositions that are classified as concentrated in the concentration margin add-on </w:t>
      </w:r>
      <w:proofErr w:type="gramStart"/>
      <w:r w:rsidR="00C02107">
        <w:rPr>
          <w:noProof w:val="0"/>
          <w:lang w:val="en-US"/>
        </w:rPr>
        <w:t>calculation</w:t>
      </w:r>
      <w:r w:rsidR="00EC5F05">
        <w:rPr>
          <w:noProof w:val="0"/>
          <w:lang w:val="en-US"/>
        </w:rPr>
        <w:t>, and</w:t>
      </w:r>
      <w:proofErr w:type="gramEnd"/>
      <w:r w:rsidR="00EC5F05">
        <w:rPr>
          <w:noProof w:val="0"/>
          <w:lang w:val="en-US"/>
        </w:rPr>
        <w:t xml:space="preserve"> receive a liquidation cost at least corresponding to the lowest level of </w:t>
      </w:r>
      <w:r w:rsidR="00294239">
        <w:rPr>
          <w:noProof w:val="0"/>
          <w:lang w:val="en-US"/>
        </w:rPr>
        <w:t>liquidity</w:t>
      </w:r>
      <w:r w:rsidR="00EC5F05">
        <w:rPr>
          <w:noProof w:val="0"/>
          <w:lang w:val="en-US"/>
        </w:rPr>
        <w:t xml:space="preserve"> haircut,</w:t>
      </w:r>
      <w:r w:rsidR="00C02107">
        <w:rPr>
          <w:noProof w:val="0"/>
          <w:lang w:val="en-US"/>
        </w:rPr>
        <w:t xml:space="preserve"> will be </w:t>
      </w:r>
      <w:r w:rsidR="006B3B1C">
        <w:rPr>
          <w:noProof w:val="0"/>
          <w:lang w:val="en-US"/>
        </w:rPr>
        <w:t xml:space="preserve">considered as equally concentrated in </w:t>
      </w:r>
      <w:r w:rsidR="008A48FD">
        <w:rPr>
          <w:noProof w:val="0"/>
          <w:lang w:val="en-US"/>
        </w:rPr>
        <w:t xml:space="preserve">the </w:t>
      </w:r>
      <w:r w:rsidR="006B3B1C">
        <w:rPr>
          <w:noProof w:val="0"/>
          <w:lang w:val="en-US"/>
        </w:rPr>
        <w:t>stress loss calculation</w:t>
      </w:r>
      <w:r w:rsidR="00C02107">
        <w:rPr>
          <w:noProof w:val="0"/>
          <w:lang w:val="en-US"/>
        </w:rPr>
        <w:t xml:space="preserve">. </w:t>
      </w:r>
      <w:r w:rsidR="009366E8">
        <w:rPr>
          <w:noProof w:val="0"/>
          <w:lang w:val="en-US"/>
        </w:rPr>
        <w:t>As stated in the introduction to this section, f</w:t>
      </w:r>
      <w:r w:rsidR="00C02107">
        <w:rPr>
          <w:noProof w:val="0"/>
          <w:lang w:val="en-US"/>
        </w:rPr>
        <w:t>or such positions</w:t>
      </w:r>
      <w:r w:rsidR="006B3B1C">
        <w:rPr>
          <w:noProof w:val="0"/>
          <w:lang w:val="en-US"/>
        </w:rPr>
        <w:t>,</w:t>
      </w:r>
      <w:r w:rsidR="00C02107">
        <w:rPr>
          <w:noProof w:val="0"/>
          <w:lang w:val="en-US"/>
        </w:rPr>
        <w:t xml:space="preserve"> the </w:t>
      </w:r>
      <w:r w:rsidR="00294239">
        <w:rPr>
          <w:noProof w:val="0"/>
          <w:lang w:val="en-US"/>
        </w:rPr>
        <w:t>liquidation cost will effectively cancel in the loss-beyond-margin calculation</w:t>
      </w:r>
      <w:r w:rsidR="00176078">
        <w:rPr>
          <w:noProof w:val="0"/>
          <w:lang w:val="en-US"/>
        </w:rPr>
        <w:t xml:space="preserve"> (</w:t>
      </w:r>
      <w:r w:rsidR="00294239">
        <w:rPr>
          <w:noProof w:val="0"/>
          <w:lang w:val="en-US"/>
        </w:rPr>
        <w:t xml:space="preserve">accomplished by setting the </w:t>
      </w:r>
      <w:r w:rsidR="00EC5F05">
        <w:rPr>
          <w:noProof w:val="0"/>
          <w:lang w:val="en-US"/>
        </w:rPr>
        <w:t>S</w:t>
      </w:r>
      <w:r w:rsidR="00294239">
        <w:rPr>
          <w:noProof w:val="0"/>
          <w:lang w:val="en-US"/>
        </w:rPr>
        <w:t>BLC</w:t>
      </w:r>
      <w:r w:rsidR="00176078">
        <w:rPr>
          <w:noProof w:val="0"/>
          <w:lang w:val="en-US"/>
        </w:rPr>
        <w:t xml:space="preserve"> component in the stress loss calculation</w:t>
      </w:r>
      <w:r w:rsidR="00EC5F05">
        <w:rPr>
          <w:noProof w:val="0"/>
          <w:lang w:val="en-US"/>
        </w:rPr>
        <w:t xml:space="preserve"> </w:t>
      </w:r>
      <w:r w:rsidR="00294239">
        <w:rPr>
          <w:noProof w:val="0"/>
          <w:lang w:val="en-US"/>
        </w:rPr>
        <w:t>equal to the concentration margin add-on</w:t>
      </w:r>
      <w:r w:rsidR="00176078">
        <w:rPr>
          <w:noProof w:val="0"/>
          <w:lang w:val="en-US"/>
        </w:rPr>
        <w:t>)</w:t>
      </w:r>
      <w:r w:rsidR="00294239">
        <w:rPr>
          <w:noProof w:val="0"/>
          <w:lang w:val="en-US"/>
        </w:rPr>
        <w:t>.</w:t>
      </w:r>
      <w:r w:rsidR="00C02107">
        <w:rPr>
          <w:noProof w:val="0"/>
          <w:lang w:val="en-US"/>
        </w:rPr>
        <w:t xml:space="preserve"> </w:t>
      </w:r>
    </w:p>
    <w:p w14:paraId="3737061A" w14:textId="48480775" w:rsidR="00AC688D" w:rsidRPr="00210160" w:rsidRDefault="00294239" w:rsidP="003F5F71">
      <w:pPr>
        <w:pStyle w:val="Bullets"/>
      </w:pPr>
      <w:bookmarkStart w:id="174" w:name="_Hlk40876561"/>
      <w:r>
        <w:rPr>
          <w:noProof w:val="0"/>
          <w:lang w:val="en-US"/>
        </w:rPr>
        <w:t xml:space="preserve">"Knock-on </w:t>
      </w:r>
      <w:r w:rsidR="008A48FD">
        <w:rPr>
          <w:noProof w:val="0"/>
          <w:lang w:val="en-US"/>
        </w:rPr>
        <w:t>A</w:t>
      </w:r>
      <w:r>
        <w:rPr>
          <w:noProof w:val="0"/>
          <w:lang w:val="en-US"/>
        </w:rPr>
        <w:t>djustment” (KO-</w:t>
      </w:r>
      <w:r w:rsidR="008A48FD">
        <w:rPr>
          <w:noProof w:val="0"/>
          <w:lang w:val="en-US"/>
        </w:rPr>
        <w:t>a</w:t>
      </w:r>
      <w:r>
        <w:rPr>
          <w:noProof w:val="0"/>
          <w:lang w:val="en-US"/>
        </w:rPr>
        <w:t xml:space="preserve">dj) </w:t>
      </w:r>
      <w:r w:rsidR="00176078">
        <w:rPr>
          <w:noProof w:val="0"/>
          <w:lang w:val="en-US"/>
        </w:rPr>
        <w:t>–</w:t>
      </w:r>
      <w:r>
        <w:rPr>
          <w:noProof w:val="0"/>
          <w:lang w:val="en-US"/>
        </w:rPr>
        <w:t xml:space="preserve"> a</w:t>
      </w:r>
      <w:r w:rsidR="00176078">
        <w:rPr>
          <w:noProof w:val="0"/>
          <w:lang w:val="en-US"/>
        </w:rPr>
        <w:t>n additional</w:t>
      </w:r>
      <w:r w:rsidR="00AC688D" w:rsidRPr="00210160">
        <w:rPr>
          <w:noProof w:val="0"/>
          <w:lang w:val="en-US"/>
        </w:rPr>
        <w:t xml:space="preserve"> portfolio liquidation cost</w:t>
      </w:r>
      <w:r w:rsidR="00176078">
        <w:rPr>
          <w:noProof w:val="0"/>
          <w:lang w:val="en-US"/>
        </w:rPr>
        <w:t>,</w:t>
      </w:r>
      <w:r w:rsidR="00AC688D" w:rsidRPr="00210160">
        <w:rPr>
          <w:noProof w:val="0"/>
          <w:lang w:val="en-US"/>
        </w:rPr>
        <w:t xml:space="preserve"> </w:t>
      </w:r>
      <w:r w:rsidR="00176078">
        <w:rPr>
          <w:noProof w:val="0"/>
          <w:lang w:val="en-US"/>
        </w:rPr>
        <w:t xml:space="preserve">conceptually </w:t>
      </w:r>
      <w:r>
        <w:rPr>
          <w:noProof w:val="0"/>
          <w:lang w:val="en-US"/>
        </w:rPr>
        <w:t xml:space="preserve">applied as a “knock-on” </w:t>
      </w:r>
      <w:r w:rsidR="00AC688D">
        <w:rPr>
          <w:noProof w:val="0"/>
          <w:lang w:val="en-US"/>
        </w:rPr>
        <w:t>to the concentration add-on</w:t>
      </w:r>
      <w:r w:rsidR="00176078">
        <w:rPr>
          <w:noProof w:val="0"/>
          <w:lang w:val="en-US"/>
        </w:rPr>
        <w:t>,</w:t>
      </w:r>
      <w:r w:rsidR="008A48FD">
        <w:rPr>
          <w:noProof w:val="0"/>
          <w:lang w:val="en-US"/>
        </w:rPr>
        <w:t xml:space="preserve"> to account for increased liquidation cost </w:t>
      </w:r>
      <w:r w:rsidR="00AC688D" w:rsidRPr="00210160">
        <w:rPr>
          <w:noProof w:val="0"/>
          <w:lang w:val="en-US"/>
        </w:rPr>
        <w:t xml:space="preserve">given a lower risk warehousing capacity </w:t>
      </w:r>
      <w:r w:rsidR="00176078">
        <w:rPr>
          <w:noProof w:val="0"/>
          <w:lang w:val="en-US"/>
        </w:rPr>
        <w:t xml:space="preserve">of the market </w:t>
      </w:r>
      <w:r w:rsidR="008A48FD">
        <w:rPr>
          <w:noProof w:val="0"/>
          <w:lang w:val="en-US"/>
        </w:rPr>
        <w:t xml:space="preserve">following a default, </w:t>
      </w:r>
      <w:r w:rsidR="00AC688D" w:rsidRPr="00210160">
        <w:rPr>
          <w:noProof w:val="0"/>
          <w:lang w:val="en-US"/>
        </w:rPr>
        <w:t>in a</w:t>
      </w:r>
      <w:r w:rsidR="00AC688D">
        <w:rPr>
          <w:noProof w:val="0"/>
          <w:lang w:val="en-US"/>
        </w:rPr>
        <w:t xml:space="preserve">n event with multiple defaults. </w:t>
      </w:r>
      <w:bookmarkEnd w:id="174"/>
    </w:p>
    <w:p w14:paraId="0D00DC77" w14:textId="558B434B" w:rsidR="00C75283" w:rsidRPr="00F3264A" w:rsidRDefault="003051DA" w:rsidP="00A26609">
      <w:pPr>
        <w:pStyle w:val="Heading2"/>
      </w:pPr>
      <w:bookmarkStart w:id="175" w:name="_Ref41579853"/>
      <w:bookmarkStart w:id="176" w:name="_Ref41580352"/>
      <w:bookmarkStart w:id="177" w:name="_Ref41580439"/>
      <w:bookmarkStart w:id="178" w:name="_Toc233032390"/>
      <w:r w:rsidRPr="00F3264A">
        <w:t>Stress loss calculation and aggregation</w:t>
      </w:r>
      <w:bookmarkEnd w:id="175"/>
      <w:bookmarkEnd w:id="176"/>
      <w:bookmarkEnd w:id="177"/>
      <w:bookmarkEnd w:id="178"/>
    </w:p>
    <w:p w14:paraId="5AA18011" w14:textId="4F11BB23" w:rsidR="00181CE3" w:rsidRPr="000723BD" w:rsidRDefault="00181CE3" w:rsidP="00181CE3">
      <w:r w:rsidRPr="000723BD">
        <w:t xml:space="preserve">This section describes how the stress losses are calculated and aggregated, followed by </w:t>
      </w:r>
      <w:r w:rsidR="008F7800" w:rsidRPr="000723BD">
        <w:t xml:space="preserve">an overview of the </w:t>
      </w:r>
      <w:r w:rsidRPr="000723BD">
        <w:t xml:space="preserve">specific </w:t>
      </w:r>
      <w:r w:rsidR="003027C8" w:rsidRPr="000723BD">
        <w:t xml:space="preserve">stress loss </w:t>
      </w:r>
      <w:proofErr w:type="spellStart"/>
      <w:r w:rsidR="008F7800" w:rsidRPr="000723BD">
        <w:t>CCaR</w:t>
      </w:r>
      <w:proofErr w:type="spellEnd"/>
      <w:r w:rsidR="008F7800" w:rsidRPr="000723BD">
        <w:t xml:space="preserve"> </w:t>
      </w:r>
      <w:r w:rsidRPr="000723BD">
        <w:t xml:space="preserve">outcomes </w:t>
      </w:r>
      <w:r w:rsidR="00AB3CD7" w:rsidRPr="000723BD">
        <w:t>generated</w:t>
      </w:r>
      <w:r w:rsidRPr="000723BD">
        <w:t xml:space="preserve">.   </w:t>
      </w:r>
    </w:p>
    <w:p w14:paraId="38FB6ACC" w14:textId="3AB5CAB0" w:rsidR="00DA6636" w:rsidRPr="000723BD" w:rsidRDefault="00DA6636" w:rsidP="00DA6636">
      <w:pPr>
        <w:pStyle w:val="Heading3"/>
      </w:pPr>
      <w:bookmarkStart w:id="179" w:name="_Toc3904180"/>
      <w:bookmarkStart w:id="180" w:name="_Toc3923582"/>
      <w:bookmarkEnd w:id="179"/>
      <w:bookmarkEnd w:id="180"/>
      <w:r w:rsidRPr="000723BD">
        <w:t>Stress loss aggregation logic</w:t>
      </w:r>
    </w:p>
    <w:p w14:paraId="650FF29C" w14:textId="239DD22E" w:rsidR="008E555F" w:rsidRPr="00210160" w:rsidRDefault="00404A2F" w:rsidP="008E555F">
      <w:pPr>
        <w:pStyle w:val="BodyText"/>
        <w:rPr>
          <w:noProof w:val="0"/>
        </w:rPr>
      </w:pPr>
      <w:r w:rsidRPr="000723BD">
        <w:rPr>
          <w:noProof w:val="0"/>
        </w:rPr>
        <w:t>The stress loss is calculated on all current portfolios</w:t>
      </w:r>
      <w:r w:rsidR="006979A0" w:rsidRPr="000723BD">
        <w:rPr>
          <w:noProof w:val="0"/>
        </w:rPr>
        <w:t xml:space="preserve"> (Margin Calculation Accounts)</w:t>
      </w:r>
      <w:r w:rsidRPr="000723BD">
        <w:rPr>
          <w:noProof w:val="0"/>
        </w:rPr>
        <w:t xml:space="preserve"> </w:t>
      </w:r>
      <w:r w:rsidR="00077C59" w:rsidRPr="000723BD">
        <w:rPr>
          <w:noProof w:val="0"/>
        </w:rPr>
        <w:t xml:space="preserve">as outlined </w:t>
      </w:r>
      <w:r w:rsidR="00A64170" w:rsidRPr="000723BD">
        <w:rPr>
          <w:noProof w:val="0"/>
        </w:rPr>
        <w:t xml:space="preserve">in </w:t>
      </w:r>
      <w:r w:rsidR="00DA6636" w:rsidRPr="000723BD">
        <w:rPr>
          <w:noProof w:val="0"/>
        </w:rPr>
        <w:t>S</w:t>
      </w:r>
      <w:r w:rsidR="00A64170" w:rsidRPr="000723BD">
        <w:rPr>
          <w:noProof w:val="0"/>
        </w:rPr>
        <w:t xml:space="preserve">ection </w:t>
      </w:r>
      <w:r w:rsidR="00DA6636" w:rsidRPr="00F3264A">
        <w:rPr>
          <w:noProof w:val="0"/>
        </w:rPr>
        <w:fldChar w:fldCharType="begin"/>
      </w:r>
      <w:r w:rsidR="00DA6636" w:rsidRPr="000723BD">
        <w:rPr>
          <w:noProof w:val="0"/>
        </w:rPr>
        <w:instrText xml:space="preserve"> REF _Ref41579871 \r \h  \* MERGEFORMAT </w:instrText>
      </w:r>
      <w:r w:rsidR="00DA6636" w:rsidRPr="00F3264A">
        <w:rPr>
          <w:noProof w:val="0"/>
        </w:rPr>
      </w:r>
      <w:r w:rsidR="00DA6636" w:rsidRPr="00F3264A">
        <w:rPr>
          <w:noProof w:val="0"/>
        </w:rPr>
        <w:fldChar w:fldCharType="separate"/>
      </w:r>
      <w:r w:rsidR="009A4B3A">
        <w:rPr>
          <w:noProof w:val="0"/>
        </w:rPr>
        <w:t>5.3</w:t>
      </w:r>
      <w:r w:rsidR="00DA6636" w:rsidRPr="00F3264A">
        <w:rPr>
          <w:noProof w:val="0"/>
        </w:rPr>
        <w:fldChar w:fldCharType="end"/>
      </w:r>
      <w:r w:rsidR="008E555F" w:rsidRPr="000723BD">
        <w:rPr>
          <w:noProof w:val="0"/>
        </w:rPr>
        <w:t xml:space="preserve"> </w:t>
      </w:r>
      <w:r w:rsidRPr="000723BD">
        <w:rPr>
          <w:noProof w:val="0"/>
        </w:rPr>
        <w:t xml:space="preserve">for all clearing counterparties. </w:t>
      </w:r>
      <w:r w:rsidR="00300F97" w:rsidRPr="00300F97">
        <w:rPr>
          <w:noProof w:val="0"/>
        </w:rPr>
        <w:t>The estimated loss beyond initial margin (</w:t>
      </w:r>
      <w:proofErr w:type="spellStart"/>
      <w:r w:rsidR="00300F97" w:rsidRPr="00300F97">
        <w:rPr>
          <w:noProof w:val="0"/>
        </w:rPr>
        <w:t>CCaR</w:t>
      </w:r>
      <w:proofErr w:type="spellEnd"/>
      <w:r w:rsidR="00300F97" w:rsidRPr="00300F97">
        <w:rPr>
          <w:noProof w:val="0"/>
        </w:rPr>
        <w:t xml:space="preserve"> value) is derived as the market value change of a portfolio under stress, less the initial margin (or </w:t>
      </w:r>
      <w:proofErr w:type="spellStart"/>
      <w:r w:rsidR="00300F97" w:rsidRPr="00300F97">
        <w:rPr>
          <w:noProof w:val="0"/>
        </w:rPr>
        <w:t>haircutted</w:t>
      </w:r>
      <w:proofErr w:type="spellEnd"/>
      <w:r w:rsidR="00300F97" w:rsidRPr="00300F97">
        <w:rPr>
          <w:noProof w:val="0"/>
        </w:rPr>
        <w:t xml:space="preserve"> collateral, whichever is worst). The portfolio market value change under stress is sometimes referred to as the Stressed Market Value (SMV), which is calculated in each scenario given the risk factor movements specific to the scenario.   </w:t>
      </w:r>
    </w:p>
    <w:p w14:paraId="0C5BEF70" w14:textId="77777777" w:rsidR="000671E7" w:rsidRDefault="008E555F" w:rsidP="000671E7">
      <w:pPr>
        <w:pStyle w:val="BodyText"/>
        <w:rPr>
          <w:noProof w:val="0"/>
        </w:rPr>
      </w:pPr>
      <w:r w:rsidRPr="00210160">
        <w:rPr>
          <w:noProof w:val="0"/>
        </w:rPr>
        <w:t>U</w:t>
      </w:r>
      <w:r w:rsidR="006979A0" w:rsidRPr="00210160">
        <w:rPr>
          <w:noProof w:val="0"/>
        </w:rPr>
        <w:t xml:space="preserve">nder each stress scenario and for each Margin Requirement Account (MRA), loss is defined as the </w:t>
      </w:r>
      <w:r w:rsidRPr="00210160">
        <w:rPr>
          <w:noProof w:val="0"/>
        </w:rPr>
        <w:t>sum of losses for all underlying MCAs.</w:t>
      </w:r>
      <w:r w:rsidR="006979A0" w:rsidRPr="00210160">
        <w:rPr>
          <w:noProof w:val="0"/>
        </w:rPr>
        <w:t xml:space="preserve"> </w:t>
      </w:r>
      <w:r w:rsidRPr="00210160">
        <w:rPr>
          <w:noProof w:val="0"/>
        </w:rPr>
        <w:t>As collateral is required on this level</w:t>
      </w:r>
      <w:r w:rsidR="000671E7">
        <w:rPr>
          <w:noProof w:val="0"/>
        </w:rPr>
        <w:t xml:space="preserve"> (MRA)</w:t>
      </w:r>
      <w:r w:rsidRPr="00210160">
        <w:rPr>
          <w:noProof w:val="0"/>
        </w:rPr>
        <w:t xml:space="preserve">, this is where the </w:t>
      </w:r>
      <w:proofErr w:type="spellStart"/>
      <w:r w:rsidRPr="00210160">
        <w:rPr>
          <w:noProof w:val="0"/>
        </w:rPr>
        <w:t>CCaR</w:t>
      </w:r>
      <w:proofErr w:type="spellEnd"/>
      <w:r w:rsidRPr="00210160">
        <w:rPr>
          <w:noProof w:val="0"/>
        </w:rPr>
        <w:t xml:space="preserve"> is calculated as the scenario loss on MRA level less the initial margin requirement or the available (haircut) collateral, whichever is worst. </w:t>
      </w:r>
      <w:proofErr w:type="spellStart"/>
      <w:r w:rsidR="000671E7">
        <w:rPr>
          <w:noProof w:val="0"/>
        </w:rPr>
        <w:t>CCaR</w:t>
      </w:r>
      <w:proofErr w:type="spellEnd"/>
      <w:r w:rsidR="000671E7">
        <w:rPr>
          <w:noProof w:val="0"/>
        </w:rPr>
        <w:t xml:space="preserve"> is then the loss beyond margin, combining the stress losses with the collected collateral.</w:t>
      </w:r>
    </w:p>
    <w:p w14:paraId="3DFD437A" w14:textId="77777777" w:rsidR="000671E7" w:rsidRPr="00210160" w:rsidRDefault="000671E7" w:rsidP="000671E7">
      <w:pPr>
        <w:pStyle w:val="BodyText"/>
        <w:rPr>
          <w:noProof w:val="0"/>
        </w:rPr>
      </w:pPr>
      <w:r w:rsidRPr="00210160">
        <w:rPr>
          <w:noProof w:val="0"/>
        </w:rPr>
        <w:t>Excess collateral is not considered, whereas a collateral shortfall compared to the margin requirement is considered (and will reduce the collateral against which the SMV is compared</w:t>
      </w:r>
      <w:r>
        <w:rPr>
          <w:noProof w:val="0"/>
        </w:rPr>
        <w:t>, a shortfall is only expected in unusual circumstances when there has been delays in posting collateral from the clearing member for e.g. operational reasons, or if the value of the collateral has changed during the day</w:t>
      </w:r>
      <w:r w:rsidRPr="00210160">
        <w:rPr>
          <w:noProof w:val="0"/>
        </w:rPr>
        <w:t>).</w:t>
      </w:r>
    </w:p>
    <w:p w14:paraId="0D1A03DC" w14:textId="0855AFF9" w:rsidR="00BF7C1D" w:rsidRDefault="008E555F" w:rsidP="000671E7">
      <w:pPr>
        <w:pStyle w:val="BodyText"/>
        <w:rPr>
          <w:noProof w:val="0"/>
        </w:rPr>
      </w:pPr>
      <w:r w:rsidRPr="00210160">
        <w:rPr>
          <w:noProof w:val="0"/>
        </w:rPr>
        <w:t>The formula is hence</w:t>
      </w:r>
      <w:r w:rsidR="00BF7C1D">
        <w:rPr>
          <w:noProof w:val="0"/>
        </w:rPr>
        <w:t xml:space="preserve"> (</w:t>
      </w:r>
      <w:r w:rsidR="00BF7C1D" w:rsidRPr="00210160">
        <w:rPr>
          <w:noProof w:val="0"/>
        </w:rPr>
        <w:t xml:space="preserve">assuming all quantities are expressed with a </w:t>
      </w:r>
      <w:r w:rsidR="00BF7C1D" w:rsidRPr="00210160">
        <w:rPr>
          <w:rFonts w:cs="Times New Roman"/>
          <w:noProof w:val="0"/>
        </w:rPr>
        <w:t>negative sign</w:t>
      </w:r>
      <w:r w:rsidR="00BF7C1D">
        <w:rPr>
          <w:rFonts w:cs="Times New Roman"/>
          <w:noProof w:val="0"/>
        </w:rPr>
        <w:t>)</w:t>
      </w:r>
      <w:r w:rsidR="00BF7C1D">
        <w:rPr>
          <w:noProof w:val="0"/>
        </w:rPr>
        <w:t>:</w:t>
      </w:r>
    </w:p>
    <w:p w14:paraId="3D0FBFF3" w14:textId="34F2D6A9" w:rsidR="00E82C58" w:rsidRDefault="008E555F" w:rsidP="008E555F">
      <w:pPr>
        <w:pStyle w:val="BodyText"/>
        <w:rPr>
          <w:noProof w:val="0"/>
        </w:rPr>
      </w:pPr>
      <w:r w:rsidRPr="00210160">
        <w:rPr>
          <w:noProof w:val="0"/>
        </w:rPr>
        <w:t xml:space="preserve"> </w:t>
      </w:r>
      <m:oMath>
        <m:r>
          <w:rPr>
            <w:rFonts w:ascii="Cambria Math" w:hAnsi="Cambria Math"/>
            <w:noProof w:val="0"/>
          </w:rPr>
          <m:t>CCa</m:t>
        </m:r>
        <m:sSub>
          <m:sSubPr>
            <m:ctrlPr>
              <w:rPr>
                <w:rFonts w:ascii="Cambria Math" w:hAnsi="Cambria Math"/>
                <w:i/>
                <w:noProof w:val="0"/>
              </w:rPr>
            </m:ctrlPr>
          </m:sSubPr>
          <m:e>
            <m:r>
              <w:rPr>
                <w:rFonts w:ascii="Cambria Math" w:hAnsi="Cambria Math"/>
                <w:noProof w:val="0"/>
              </w:rPr>
              <m:t>R</m:t>
            </m:r>
          </m:e>
          <m:sub>
            <m:r>
              <w:rPr>
                <w:rFonts w:ascii="Cambria Math" w:hAnsi="Cambria Math"/>
                <w:noProof w:val="0"/>
              </w:rPr>
              <m:t>MRA</m:t>
            </m:r>
          </m:sub>
        </m:sSub>
        <m:r>
          <w:rPr>
            <w:rFonts w:ascii="Cambria Math" w:hAnsi="Cambria Math"/>
            <w:noProof w:val="0"/>
          </w:rPr>
          <m:t xml:space="preserve">= </m:t>
        </m:r>
        <m:nary>
          <m:naryPr>
            <m:chr m:val="∑"/>
            <m:limLoc m:val="undOvr"/>
            <m:supHide m:val="1"/>
            <m:ctrlPr>
              <w:rPr>
                <w:rFonts w:ascii="Cambria Math" w:hAnsi="Cambria Math"/>
                <w:i/>
                <w:noProof w:val="0"/>
              </w:rPr>
            </m:ctrlPr>
          </m:naryPr>
          <m:sub/>
          <m:sup/>
          <m:e>
            <m:r>
              <w:rPr>
                <w:rFonts w:ascii="Cambria Math" w:hAnsi="Cambria Math"/>
                <w:noProof w:val="0"/>
              </w:rPr>
              <m:t>Stres</m:t>
            </m:r>
            <m:sSub>
              <m:sSubPr>
                <m:ctrlPr>
                  <w:rPr>
                    <w:rFonts w:ascii="Cambria Math" w:hAnsi="Cambria Math"/>
                    <w:i/>
                    <w:noProof w:val="0"/>
                  </w:rPr>
                </m:ctrlPr>
              </m:sSubPr>
              <m:e>
                <m:r>
                  <w:rPr>
                    <w:rFonts w:ascii="Cambria Math" w:hAnsi="Cambria Math"/>
                    <w:noProof w:val="0"/>
                  </w:rPr>
                  <m:t>s</m:t>
                </m:r>
              </m:e>
              <m:sub>
                <m:r>
                  <w:rPr>
                    <w:rFonts w:ascii="Cambria Math" w:hAnsi="Cambria Math"/>
                    <w:noProof w:val="0"/>
                  </w:rPr>
                  <m:t>MCA</m:t>
                </m:r>
              </m:sub>
            </m:sSub>
            <m:r>
              <w:rPr>
                <w:rFonts w:ascii="Cambria Math" w:hAnsi="Cambria Math"/>
                <w:noProof w:val="0"/>
              </w:rPr>
              <m:t>-</m:t>
            </m:r>
            <m:r>
              <m:rPr>
                <m:sty m:val="p"/>
              </m:rPr>
              <w:rPr>
                <w:rFonts w:ascii="Cambria Math" w:hAnsi="Cambria Math"/>
                <w:noProof w:val="0"/>
              </w:rPr>
              <m:t>max⁡</m:t>
            </m:r>
            <m:r>
              <w:rPr>
                <w:rFonts w:ascii="Cambria Math" w:hAnsi="Cambria Math"/>
                <w:noProof w:val="0"/>
              </w:rPr>
              <m:t>(initial margin, available haircutted collateral)</m:t>
            </m:r>
          </m:e>
        </m:nary>
      </m:oMath>
      <w:r w:rsidRPr="00210160">
        <w:rPr>
          <w:noProof w:val="0"/>
        </w:rPr>
        <w:t xml:space="preserve">, </w:t>
      </w:r>
    </w:p>
    <w:p w14:paraId="38F4525E" w14:textId="157E10B7" w:rsidR="00BF7C1D" w:rsidRDefault="00BF7C1D">
      <w:pPr>
        <w:pStyle w:val="BodyText"/>
        <w:rPr>
          <w:noProof w:val="0"/>
        </w:rPr>
      </w:pPr>
      <w:r>
        <w:rPr>
          <w:noProof w:val="0"/>
        </w:rPr>
        <w:t xml:space="preserve"> </w:t>
      </w:r>
      <w:proofErr w:type="gramStart"/>
      <w:r>
        <w:rPr>
          <w:noProof w:val="0"/>
        </w:rPr>
        <w:t>where</w:t>
      </w:r>
      <w:proofErr w:type="gramEnd"/>
      <w:r>
        <w:rPr>
          <w:noProof w:val="0"/>
        </w:rPr>
        <w:t xml:space="preserve"> </w:t>
      </w:r>
    </w:p>
    <w:p w14:paraId="001B4828" w14:textId="6321D74D" w:rsidR="00BF7C1D" w:rsidRDefault="00BF7C1D" w:rsidP="00BF7C1D">
      <w:pPr>
        <w:pStyle w:val="BodyText"/>
        <w:ind w:firstLine="720"/>
        <w:rPr>
          <w:noProof w:val="0"/>
        </w:rPr>
      </w:pPr>
      <w:r>
        <w:rPr>
          <w:noProof w:val="0"/>
        </w:rPr>
        <w:t xml:space="preserve"> </w:t>
      </w:r>
      <m:oMath>
        <m:r>
          <w:rPr>
            <w:rFonts w:ascii="Cambria Math" w:hAnsi="Cambria Math"/>
            <w:noProof w:val="0"/>
          </w:rPr>
          <m:t>Stres</m:t>
        </m:r>
        <m:sSub>
          <m:sSubPr>
            <m:ctrlPr>
              <w:rPr>
                <w:rFonts w:ascii="Cambria Math" w:hAnsi="Cambria Math"/>
                <w:i/>
                <w:noProof w:val="0"/>
              </w:rPr>
            </m:ctrlPr>
          </m:sSubPr>
          <m:e>
            <m:r>
              <w:rPr>
                <w:rFonts w:ascii="Cambria Math" w:hAnsi="Cambria Math"/>
                <w:noProof w:val="0"/>
              </w:rPr>
              <m:t>s</m:t>
            </m:r>
          </m:e>
          <m:sub>
            <m:r>
              <w:rPr>
                <w:rFonts w:ascii="Cambria Math" w:hAnsi="Cambria Math"/>
                <w:noProof w:val="0"/>
              </w:rPr>
              <m:t>MCA</m:t>
            </m:r>
          </m:sub>
        </m:sSub>
      </m:oMath>
      <w:r>
        <w:rPr>
          <w:noProof w:val="0"/>
        </w:rPr>
        <w:t xml:space="preserve"> </w:t>
      </w:r>
      <w:r w:rsidR="006A484D">
        <w:rPr>
          <w:noProof w:val="0"/>
        </w:rPr>
        <w:tab/>
      </w:r>
      <w:r>
        <w:rPr>
          <w:noProof w:val="0"/>
        </w:rPr>
        <w:t xml:space="preserve">includes stressed liquidation component </w:t>
      </w:r>
    </w:p>
    <w:p w14:paraId="22CF04C9" w14:textId="563253F9" w:rsidR="008E555F" w:rsidRPr="008265F4" w:rsidRDefault="00BF7C1D" w:rsidP="008E555F">
      <w:pPr>
        <w:pStyle w:val="BodyText"/>
        <w:rPr>
          <w:noProof w:val="0"/>
        </w:rPr>
      </w:pPr>
      <w:r>
        <w:rPr>
          <w:noProof w:val="0"/>
        </w:rPr>
        <w:lastRenderedPageBreak/>
        <w:tab/>
      </w:r>
      <m:oMath>
        <m:r>
          <w:rPr>
            <w:rFonts w:ascii="Cambria Math" w:hAnsi="Cambria Math"/>
            <w:noProof w:val="0"/>
          </w:rPr>
          <m:t>initial margin</m:t>
        </m:r>
      </m:oMath>
      <w:r>
        <w:rPr>
          <w:noProof w:val="0"/>
        </w:rPr>
        <w:t xml:space="preserve"> includes base liquidation cost </w:t>
      </w:r>
    </w:p>
    <w:p w14:paraId="5AE04E41" w14:textId="72BBD5B8" w:rsidR="002534D2" w:rsidRDefault="002534D2" w:rsidP="00F3264A">
      <w:pPr>
        <w:pStyle w:val="BodyText"/>
      </w:pPr>
      <w:r>
        <w:rPr>
          <w:rFonts w:cs="Times New Roman"/>
          <w:noProof w:val="0"/>
        </w:rPr>
        <w:t xml:space="preserve">However, the above also </w:t>
      </w:r>
      <w:proofErr w:type="gramStart"/>
      <w:r>
        <w:rPr>
          <w:rFonts w:cs="Times New Roman"/>
          <w:noProof w:val="0"/>
        </w:rPr>
        <w:t>takes into account</w:t>
      </w:r>
      <w:proofErr w:type="gramEnd"/>
      <w:r>
        <w:rPr>
          <w:rFonts w:cs="Times New Roman"/>
          <w:noProof w:val="0"/>
        </w:rPr>
        <w:t xml:space="preserve"> the aggregation rules with regards to mixing customer funds. This means that if the calculated SMV is a gain, not a loss, then while losses are always propagated, gains are only propagated when doing so would not result in shifting profits from one customer to another, or to the house account. More details are described below, when the same logic is applied for propagation beyond the MRA level.</w:t>
      </w:r>
    </w:p>
    <w:p w14:paraId="6966D4C4" w14:textId="04D0E0DD" w:rsidR="006979A0" w:rsidRPr="00210160" w:rsidRDefault="006979A0" w:rsidP="006979A0">
      <w:r w:rsidRPr="00210160">
        <w:t xml:space="preserve">From the losses calculated </w:t>
      </w:r>
      <w:r w:rsidR="001D5372">
        <w:t>on</w:t>
      </w:r>
      <w:r w:rsidR="001D5372" w:rsidRPr="00210160">
        <w:t xml:space="preserve"> </w:t>
      </w:r>
      <w:r w:rsidRPr="00210160">
        <w:t>the Margin Requirement Account level, further aggregation is done to the level of the Legal Entity that is a clearing member, and then to the Legal Entity Group</w:t>
      </w:r>
      <w:r w:rsidR="008E555F" w:rsidRPr="00210160">
        <w:t xml:space="preserve"> (spanning any additional memberships of the Group)</w:t>
      </w:r>
      <w:r w:rsidRPr="00210160">
        <w:t xml:space="preserve">. This </w:t>
      </w:r>
      <w:r w:rsidR="001D5372">
        <w:t>means that</w:t>
      </w:r>
      <w:r w:rsidRPr="00210160">
        <w:t xml:space="preserve"> all Legal Entities belonging to the same Group </w:t>
      </w:r>
      <w:r w:rsidR="001D5372">
        <w:t xml:space="preserve">are assumed to </w:t>
      </w:r>
      <w:r w:rsidRPr="00210160">
        <w:t>g</w:t>
      </w:r>
      <w:r w:rsidR="008E555F" w:rsidRPr="00210160">
        <w:t>o</w:t>
      </w:r>
      <w:r w:rsidRPr="00210160">
        <w:t xml:space="preserve"> into a default simultaneously</w:t>
      </w:r>
      <w:r w:rsidR="001D5372">
        <w:t>, not only one subsidiary</w:t>
      </w:r>
      <w:r w:rsidRPr="00210160">
        <w:t>.</w:t>
      </w:r>
    </w:p>
    <w:p w14:paraId="28FD4031" w14:textId="5C4F3402" w:rsidR="006979A0" w:rsidRPr="00210160" w:rsidRDefault="008E555F" w:rsidP="006979A0">
      <w:r w:rsidRPr="00210160">
        <w:t>Note that the</w:t>
      </w:r>
      <w:r w:rsidR="006979A0" w:rsidRPr="00210160">
        <w:t xml:space="preserve"> aggregation of losses beyond the MRA level considers the default management rules with respect to transfer of gains: If </w:t>
      </w:r>
      <w:r w:rsidRPr="00210160">
        <w:t>a</w:t>
      </w:r>
      <w:r w:rsidR="006979A0" w:rsidRPr="00210160">
        <w:t xml:space="preserve"> stressed scenario contains a gain on the house account, that surplus can be used to cover losses on client accounts. Gains on client accounts can however not offset losses on other client accounts, or losses on the house account. The aggregation rules will thus set gains</w:t>
      </w:r>
      <w:r w:rsidRPr="00210160">
        <w:t xml:space="preserve"> under a specific </w:t>
      </w:r>
      <w:r w:rsidR="00077C59" w:rsidRPr="00210160">
        <w:t>scenario</w:t>
      </w:r>
      <w:r w:rsidR="00B06EC1">
        <w:t xml:space="preserve"> </w:t>
      </w:r>
      <w:r w:rsidR="00077C59" w:rsidRPr="00210160">
        <w:t>on</w:t>
      </w:r>
      <w:r w:rsidRPr="00210160">
        <w:t xml:space="preserve"> any client MRA account</w:t>
      </w:r>
      <w:r w:rsidR="006979A0" w:rsidRPr="00210160">
        <w:t xml:space="preserve"> to zero.</w:t>
      </w:r>
      <w:r w:rsidR="00181CE3">
        <w:t xml:space="preserve"> Below, the formula is outlined </w:t>
      </w:r>
      <w:r w:rsidR="007548E2">
        <w:t xml:space="preserve">for </w:t>
      </w:r>
      <w:r w:rsidR="00181CE3">
        <w:t xml:space="preserve">how the </w:t>
      </w:r>
      <w:proofErr w:type="spellStart"/>
      <w:r w:rsidR="00181CE3">
        <w:t>CCaR</w:t>
      </w:r>
      <w:proofErr w:type="spellEnd"/>
      <w:r w:rsidR="00181CE3">
        <w:t xml:space="preserve"> component for a legal entity under a specific scenario, </w:t>
      </w:r>
      <w:proofErr w:type="spellStart"/>
      <w:r w:rsidR="00181CE3">
        <w:t>i</w:t>
      </w:r>
      <w:proofErr w:type="spellEnd"/>
      <w:r w:rsidR="00181CE3">
        <w:t>, is calculated.</w:t>
      </w:r>
      <w:r w:rsidR="00A25AF5">
        <w:t xml:space="preserve"> </w:t>
      </w:r>
    </w:p>
    <w:p w14:paraId="16139477" w14:textId="59D62BF7" w:rsidR="00C30D1B" w:rsidRPr="00210160" w:rsidRDefault="00C30D1B" w:rsidP="00C30D1B">
      <m:oMathPara>
        <m:oMath>
          <m:r>
            <w:rPr>
              <w:rFonts w:ascii="Cambria Math" w:hAnsi="Cambria Math"/>
            </w:rPr>
            <m:t>CCa</m:t>
          </m:r>
          <m:sSub>
            <m:sSubPr>
              <m:ctrlPr>
                <w:rPr>
                  <w:rFonts w:ascii="Cambria Math" w:hAnsi="Cambria Math"/>
                  <w:i/>
                </w:rPr>
              </m:ctrlPr>
            </m:sSubPr>
            <m:e>
              <m:r>
                <w:rPr>
                  <w:rFonts w:ascii="Cambria Math" w:hAnsi="Cambria Math"/>
                </w:rPr>
                <m:t>R</m:t>
              </m:r>
            </m:e>
            <m:sub>
              <m:r>
                <w:rPr>
                  <w:rFonts w:ascii="Cambria Math" w:hAnsi="Cambria Math"/>
                </w:rPr>
                <m:t>LEI,i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House account(s)</m:t>
              </m:r>
            </m:sub>
            <m:sup/>
            <m:e>
              <m:r>
                <w:rPr>
                  <w:rFonts w:ascii="Cambria Math" w:hAnsi="Cambria Math"/>
                </w:rPr>
                <m:t>CCa</m:t>
              </m:r>
              <m:sSub>
                <m:sSubPr>
                  <m:ctrlPr>
                    <w:rPr>
                      <w:rFonts w:ascii="Cambria Math" w:hAnsi="Cambria Math"/>
                      <w:i/>
                    </w:rPr>
                  </m:ctrlPr>
                </m:sSubPr>
                <m:e>
                  <m:r>
                    <w:rPr>
                      <w:rFonts w:ascii="Cambria Math" w:hAnsi="Cambria Math"/>
                    </w:rPr>
                    <m:t>R</m:t>
                  </m:r>
                </m:e>
                <m:sub>
                  <m:r>
                    <w:rPr>
                      <w:rFonts w:ascii="Cambria Math" w:hAnsi="Cambria Math"/>
                    </w:rPr>
                    <m:t>MRA,i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Client account(s)</m:t>
                  </m:r>
                </m:sub>
                <m:sup/>
                <m:e>
                  <m:r>
                    <m:rPr>
                      <m:sty m:val="p"/>
                    </m:rPr>
                    <w:rPr>
                      <w:rFonts w:ascii="Cambria Math" w:hAnsi="Cambria Math"/>
                    </w:rPr>
                    <m:t>min⁡</m:t>
                  </m:r>
                  <m:r>
                    <w:rPr>
                      <w:rFonts w:ascii="Cambria Math" w:hAnsi="Cambria Math"/>
                    </w:rPr>
                    <m:t>(CCa</m:t>
                  </m:r>
                  <m:sSub>
                    <m:sSubPr>
                      <m:ctrlPr>
                        <w:rPr>
                          <w:rFonts w:ascii="Cambria Math" w:hAnsi="Cambria Math"/>
                          <w:i/>
                        </w:rPr>
                      </m:ctrlPr>
                    </m:sSubPr>
                    <m:e>
                      <m:r>
                        <w:rPr>
                          <w:rFonts w:ascii="Cambria Math" w:hAnsi="Cambria Math"/>
                        </w:rPr>
                        <m:t>R</m:t>
                      </m:r>
                    </m:e>
                    <m:sub>
                      <m:r>
                        <w:rPr>
                          <w:rFonts w:ascii="Cambria Math" w:hAnsi="Cambria Math"/>
                        </w:rPr>
                        <m:t>MRA,i</m:t>
                      </m:r>
                    </m:sub>
                  </m:sSub>
                  <m:r>
                    <w:rPr>
                      <w:rFonts w:ascii="Cambria Math" w:hAnsi="Cambria Math"/>
                    </w:rPr>
                    <m:t>,0)</m:t>
                  </m:r>
                </m:e>
              </m:nary>
            </m:e>
          </m:nary>
        </m:oMath>
      </m:oMathPara>
    </w:p>
    <w:p w14:paraId="1D969692" w14:textId="04BC4B3F" w:rsidR="00C30D1B" w:rsidRPr="00210160" w:rsidRDefault="00077C59" w:rsidP="006979A0">
      <w:r w:rsidRPr="00210160">
        <w:t>Losses are</w:t>
      </w:r>
      <w:r w:rsidR="00C30D1B" w:rsidRPr="00210160">
        <w:t xml:space="preserve"> expressed with negative sign, gains with positive sign. </w:t>
      </w:r>
      <w:r w:rsidR="001D5372">
        <w:t xml:space="preserve">The Legal Entity level </w:t>
      </w:r>
      <w:proofErr w:type="spellStart"/>
      <w:r w:rsidR="001D5372">
        <w:t>CCaR</w:t>
      </w:r>
      <w:proofErr w:type="spellEnd"/>
      <w:r w:rsidR="001D5372">
        <w:t xml:space="preserve"> aggregation to Group level does not transfer any potential gains in scenario </w:t>
      </w:r>
      <w:proofErr w:type="spellStart"/>
      <w:r w:rsidR="001D5372">
        <w:t>i</w:t>
      </w:r>
      <w:proofErr w:type="spellEnd"/>
      <w:r w:rsidR="001D5372">
        <w:t xml:space="preserve"> between the legal entities, these are set to zero similarly to the client accounts.</w:t>
      </w:r>
      <w:r w:rsidR="002534D2" w:rsidRPr="00210160">
        <w:t xml:space="preserve"> </w:t>
      </w:r>
      <w:r w:rsidR="002534D2">
        <w:t xml:space="preserve">A worst case for the largest Legal Entity Group would then form part of the Cover 1 test, whereas the </w:t>
      </w:r>
      <w:r w:rsidR="00B13DC0">
        <w:t>worst-case</w:t>
      </w:r>
      <w:r w:rsidR="002534D2">
        <w:t xml:space="preserve"> scenario involving two Legal Entity Groups would form the Cover 2 test.</w:t>
      </w:r>
    </w:p>
    <w:p w14:paraId="16E73CEC" w14:textId="758C150F" w:rsidR="00DE3EB1" w:rsidRDefault="00DE3EB1" w:rsidP="00DE3EB1">
      <w:r w:rsidRPr="00210160">
        <w:t xml:space="preserve">To account for wrong-way risk when calculating the losses in the event of a simultaneous default of two members with the worst stress loss (cover 2), </w:t>
      </w:r>
      <w:r>
        <w:t>instruments</w:t>
      </w:r>
      <w:r w:rsidRPr="00210160">
        <w:t xml:space="preserve"> posted </w:t>
      </w:r>
      <w:r>
        <w:t xml:space="preserve">as collateral </w:t>
      </w:r>
      <w:r w:rsidRPr="00210160">
        <w:t>by both of the two defaulters</w:t>
      </w:r>
      <w:r>
        <w:t xml:space="preserve"> that is connected to the other defaulting party in the Cover 2 test</w:t>
      </w:r>
      <w:r w:rsidRPr="00210160">
        <w:t xml:space="preserve"> is given an additional haircut to account for the concentration of wrong-way risk.</w:t>
      </w:r>
      <w:r w:rsidR="00510591">
        <w:t xml:space="preserve"> Selection of defaulting counterparties is done without the WWR adjustment, and the WWR adjustment is applied afterwards</w:t>
      </w:r>
      <w:r w:rsidR="000475B5">
        <w:t xml:space="preserve"> by recalculating the </w:t>
      </w:r>
      <w:proofErr w:type="spellStart"/>
      <w:r w:rsidR="000475B5">
        <w:t>CCaR</w:t>
      </w:r>
      <w:proofErr w:type="spellEnd"/>
      <w:r w:rsidR="000475B5">
        <w:t xml:space="preserve"> value. The reason for this is because it is not regarded as computationally feasible to, for all joint default candidates across all tests, calculate a WWR-adjusted </w:t>
      </w:r>
      <w:proofErr w:type="spellStart"/>
      <w:r w:rsidR="000475B5">
        <w:t>CCaR</w:t>
      </w:r>
      <w:proofErr w:type="spellEnd"/>
      <w:r w:rsidR="000475B5">
        <w:t xml:space="preserve"> and compare it (note the difference between the Knock-on Adjustment, as the Knock-on effect is independent of the exact defaulting pair).</w:t>
      </w:r>
    </w:p>
    <w:p w14:paraId="4D8A8C50" w14:textId="6A97D218" w:rsidR="00DA6636" w:rsidRDefault="00DA6636" w:rsidP="00DA6636">
      <w:pPr>
        <w:pStyle w:val="Heading3"/>
      </w:pPr>
      <w:proofErr w:type="spellStart"/>
      <w:r>
        <w:t>CCaR</w:t>
      </w:r>
      <w:proofErr w:type="spellEnd"/>
      <w:r>
        <w:t xml:space="preserve"> output generation</w:t>
      </w:r>
    </w:p>
    <w:p w14:paraId="74509425" w14:textId="07A04076" w:rsidR="00F40EFA" w:rsidRDefault="00F40EFA" w:rsidP="00F40EFA">
      <w:pPr>
        <w:spacing w:after="0"/>
      </w:pPr>
      <w:r>
        <w:t xml:space="preserve">After aggregating the stress losses to </w:t>
      </w:r>
      <w:r w:rsidR="003027C8">
        <w:t>Clearing Member (Group)</w:t>
      </w:r>
      <w:r>
        <w:t xml:space="preserve"> level, the</w:t>
      </w:r>
      <w:r w:rsidR="007548E2">
        <w:t xml:space="preserve"> </w:t>
      </w:r>
      <w:proofErr w:type="spellStart"/>
      <w:r w:rsidR="007548E2">
        <w:t>CCaR</w:t>
      </w:r>
      <w:proofErr w:type="spellEnd"/>
      <w:r w:rsidR="007548E2">
        <w:t xml:space="preserve"> model </w:t>
      </w:r>
      <w:r>
        <w:t xml:space="preserve">calculates and </w:t>
      </w:r>
      <w:r w:rsidR="00B00C92">
        <w:t>generates</w:t>
      </w:r>
      <w:r>
        <w:t xml:space="preserve"> its</w:t>
      </w:r>
      <w:r w:rsidR="00B00C92">
        <w:t xml:space="preserve"> three main </w:t>
      </w:r>
      <w:r w:rsidR="007548E2">
        <w:t>ou</w:t>
      </w:r>
      <w:r>
        <w:t>t</w:t>
      </w:r>
      <w:r w:rsidR="007548E2">
        <w:t>puts</w:t>
      </w:r>
      <w:r w:rsidR="003027C8">
        <w:t xml:space="preserve"> (outputs on sub-levels outlined above are also stored)</w:t>
      </w:r>
      <w:r>
        <w:t>, namely:</w:t>
      </w:r>
    </w:p>
    <w:p w14:paraId="12933663" w14:textId="754663AA" w:rsidR="00F40EFA" w:rsidRDefault="00F40EFA" w:rsidP="00F40EFA">
      <w:pPr>
        <w:pStyle w:val="Bullets"/>
        <w:spacing w:before="0" w:after="0"/>
        <w:rPr>
          <w:noProof w:val="0"/>
          <w:lang w:val="en-US"/>
        </w:rPr>
      </w:pPr>
      <w:r>
        <w:rPr>
          <w:noProof w:val="0"/>
          <w:lang w:val="en-US"/>
        </w:rPr>
        <w:t>C</w:t>
      </w:r>
      <w:r w:rsidR="00B00C92" w:rsidRPr="00210160">
        <w:rPr>
          <w:noProof w:val="0"/>
          <w:lang w:val="en-US"/>
        </w:rPr>
        <w:t>over</w:t>
      </w:r>
      <w:r w:rsidR="006666D2">
        <w:rPr>
          <w:noProof w:val="0"/>
          <w:lang w:val="en-US"/>
        </w:rPr>
        <w:t>-</w:t>
      </w:r>
      <w:r w:rsidR="00B00C92" w:rsidRPr="00210160">
        <w:rPr>
          <w:noProof w:val="0"/>
          <w:lang w:val="en-US"/>
        </w:rPr>
        <w:t>1</w:t>
      </w:r>
    </w:p>
    <w:p w14:paraId="397EEE58" w14:textId="286A7994" w:rsidR="00B00C92" w:rsidRPr="00210160" w:rsidRDefault="00F40EFA" w:rsidP="00F40EFA">
      <w:pPr>
        <w:pStyle w:val="Bullets"/>
        <w:spacing w:before="0" w:after="0"/>
        <w:rPr>
          <w:noProof w:val="0"/>
          <w:lang w:val="en-US"/>
        </w:rPr>
      </w:pPr>
      <w:r>
        <w:rPr>
          <w:noProof w:val="0"/>
          <w:lang w:val="en-US"/>
        </w:rPr>
        <w:t>C</w:t>
      </w:r>
      <w:r w:rsidR="00B00C92" w:rsidRPr="00210160">
        <w:rPr>
          <w:noProof w:val="0"/>
          <w:lang w:val="en-US"/>
        </w:rPr>
        <w:t>over</w:t>
      </w:r>
      <w:r w:rsidR="006666D2">
        <w:rPr>
          <w:noProof w:val="0"/>
          <w:lang w:val="en-US"/>
        </w:rPr>
        <w:t>-</w:t>
      </w:r>
      <w:r w:rsidR="00B00C92" w:rsidRPr="00210160">
        <w:rPr>
          <w:noProof w:val="0"/>
          <w:lang w:val="en-US"/>
        </w:rPr>
        <w:t xml:space="preserve">2  </w:t>
      </w:r>
    </w:p>
    <w:p w14:paraId="6EBF108A" w14:textId="4FD4D5A7" w:rsidR="00F40EFA" w:rsidRPr="00F40EFA" w:rsidRDefault="00F40EFA" w:rsidP="00F40EFA">
      <w:pPr>
        <w:pStyle w:val="Bullets"/>
        <w:spacing w:before="0"/>
      </w:pPr>
      <w:r>
        <w:rPr>
          <w:noProof w:val="0"/>
          <w:lang w:val="en-US"/>
        </w:rPr>
        <w:t>Worst individual stress loss</w:t>
      </w:r>
      <w:r w:rsidR="003027C8">
        <w:rPr>
          <w:noProof w:val="0"/>
          <w:lang w:val="en-US"/>
        </w:rPr>
        <w:t>, per Clearing Member (Group) and per MRA</w:t>
      </w:r>
    </w:p>
    <w:p w14:paraId="4297AED5" w14:textId="27A2EE49" w:rsidR="00504B13" w:rsidRPr="00F3264A" w:rsidRDefault="00F40EFA" w:rsidP="00F40EFA">
      <w:pPr>
        <w:pStyle w:val="Bullets"/>
        <w:numPr>
          <w:ilvl w:val="0"/>
          <w:numId w:val="0"/>
        </w:numPr>
        <w:rPr>
          <w:noProof w:val="0"/>
          <w:lang w:val="en-US"/>
        </w:rPr>
      </w:pPr>
      <w:r>
        <w:rPr>
          <w:noProof w:val="0"/>
          <w:lang w:val="en-US"/>
        </w:rPr>
        <w:t xml:space="preserve">The </w:t>
      </w:r>
      <w:proofErr w:type="gramStart"/>
      <w:r>
        <w:rPr>
          <w:noProof w:val="0"/>
          <w:lang w:val="en-US"/>
        </w:rPr>
        <w:t>below table</w:t>
      </w:r>
      <w:proofErr w:type="gramEnd"/>
      <w:r>
        <w:rPr>
          <w:noProof w:val="0"/>
          <w:lang w:val="en-US"/>
        </w:rPr>
        <w:t xml:space="preserve"> provides an overview and describes each of </w:t>
      </w:r>
      <w:r w:rsidR="003027C8">
        <w:rPr>
          <w:noProof w:val="0"/>
          <w:lang w:val="en-US"/>
        </w:rPr>
        <w:t>these</w:t>
      </w:r>
      <w:r>
        <w:rPr>
          <w:noProof w:val="0"/>
          <w:lang w:val="en-US"/>
        </w:rPr>
        <w:t xml:space="preserve">, including the selection of market scenario and application of liquidation cost. </w:t>
      </w:r>
      <w:r w:rsidR="00504B13">
        <w:rPr>
          <w:noProof w:val="0"/>
          <w:lang w:val="en-US"/>
        </w:rPr>
        <w:t>`</w:t>
      </w:r>
    </w:p>
    <w:p w14:paraId="7D8186DC" w14:textId="66A6C927" w:rsidR="00B00C92" w:rsidRDefault="00B00C92" w:rsidP="00B00C92">
      <w:pPr>
        <w:pStyle w:val="Caption"/>
      </w:pPr>
      <w:r>
        <w:lastRenderedPageBreak/>
        <w:t xml:space="preserve">Table </w:t>
      </w:r>
      <w:r>
        <w:fldChar w:fldCharType="begin"/>
      </w:r>
      <w:r>
        <w:instrText xml:space="preserve"> SEQ Table \* ARABIC </w:instrText>
      </w:r>
      <w:r>
        <w:fldChar w:fldCharType="separate"/>
      </w:r>
      <w:r w:rsidR="009A4B3A">
        <w:rPr>
          <w:noProof/>
        </w:rPr>
        <w:t>6</w:t>
      </w:r>
      <w:r>
        <w:fldChar w:fldCharType="end"/>
      </w:r>
      <w:r>
        <w:t xml:space="preserve">: Overview </w:t>
      </w:r>
      <w:proofErr w:type="spellStart"/>
      <w:r>
        <w:t>CCaR</w:t>
      </w:r>
      <w:proofErr w:type="spellEnd"/>
      <w:r>
        <w:t xml:space="preserve"> output</w:t>
      </w:r>
    </w:p>
    <w:tbl>
      <w:tblPr>
        <w:tblStyle w:val="OWTable"/>
        <w:tblW w:w="0" w:type="auto"/>
        <w:tblInd w:w="-108" w:type="dxa"/>
        <w:tblLook w:val="04A0" w:firstRow="1" w:lastRow="0" w:firstColumn="1" w:lastColumn="0" w:noHBand="0" w:noVBand="1"/>
      </w:tblPr>
      <w:tblGrid>
        <w:gridCol w:w="1007"/>
        <w:gridCol w:w="1108"/>
        <w:gridCol w:w="1142"/>
        <w:gridCol w:w="1563"/>
        <w:gridCol w:w="1951"/>
        <w:gridCol w:w="2255"/>
        <w:gridCol w:w="108"/>
      </w:tblGrid>
      <w:tr w:rsidR="00F3264A" w14:paraId="1EB7699B" w14:textId="77777777" w:rsidTr="00F32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9EC2" w:themeFill="text2"/>
          </w:tcPr>
          <w:p w14:paraId="42C91F64" w14:textId="602FE516" w:rsidR="003027C8" w:rsidRPr="007F490D" w:rsidRDefault="003027C8" w:rsidP="007548E2">
            <w:pPr>
              <w:spacing w:before="0" w:after="0"/>
              <w:rPr>
                <w:color w:val="FFFFFF" w:themeColor="background1"/>
                <w:sz w:val="20"/>
              </w:rPr>
            </w:pPr>
            <w:r w:rsidRPr="007F490D">
              <w:rPr>
                <w:color w:val="FFFFFF" w:themeColor="background1"/>
                <w:sz w:val="20"/>
              </w:rPr>
              <w:t>Output</w:t>
            </w:r>
          </w:p>
        </w:tc>
        <w:tc>
          <w:tcPr>
            <w:tcW w:w="1108" w:type="dxa"/>
            <w:shd w:val="clear" w:color="auto" w:fill="009EC2" w:themeFill="text2"/>
          </w:tcPr>
          <w:p w14:paraId="38C62827" w14:textId="7017A363" w:rsidR="003027C8" w:rsidRPr="007F490D" w:rsidRDefault="003027C8" w:rsidP="007548E2">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F490D">
              <w:rPr>
                <w:color w:val="FFFFFF" w:themeColor="background1"/>
                <w:sz w:val="20"/>
              </w:rPr>
              <w:t>Purpose</w:t>
            </w:r>
          </w:p>
        </w:tc>
        <w:tc>
          <w:tcPr>
            <w:tcW w:w="0" w:type="dxa"/>
            <w:shd w:val="clear" w:color="auto" w:fill="009EC2" w:themeFill="text2"/>
          </w:tcPr>
          <w:p w14:paraId="108CEAA5" w14:textId="622DB08C" w:rsidR="003027C8" w:rsidRPr="007F490D" w:rsidRDefault="003027C8" w:rsidP="007548E2">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rPr>
            </w:pPr>
            <w:r>
              <w:rPr>
                <w:color w:val="FFFFFF" w:themeColor="background1"/>
                <w:sz w:val="20"/>
              </w:rPr>
              <w:t>Calculation level</w:t>
            </w:r>
          </w:p>
        </w:tc>
        <w:tc>
          <w:tcPr>
            <w:tcW w:w="1563" w:type="dxa"/>
            <w:shd w:val="clear" w:color="auto" w:fill="009EC2" w:themeFill="text2"/>
          </w:tcPr>
          <w:p w14:paraId="24FF3E6E" w14:textId="300C8CA0" w:rsidR="003027C8" w:rsidRPr="007F490D" w:rsidRDefault="003027C8" w:rsidP="007548E2">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F490D">
              <w:rPr>
                <w:color w:val="FFFFFF" w:themeColor="background1"/>
                <w:sz w:val="20"/>
              </w:rPr>
              <w:t xml:space="preserve">Defaulting CMs (rank in </w:t>
            </w:r>
            <w:proofErr w:type="spellStart"/>
            <w:r>
              <w:rPr>
                <w:color w:val="FFFFFF" w:themeColor="background1"/>
                <w:sz w:val="20"/>
              </w:rPr>
              <w:t>CCaR</w:t>
            </w:r>
            <w:proofErr w:type="spellEnd"/>
            <w:r w:rsidRPr="007F490D">
              <w:rPr>
                <w:color w:val="FFFFFF" w:themeColor="background1"/>
                <w:sz w:val="20"/>
              </w:rPr>
              <w:t>)</w:t>
            </w:r>
          </w:p>
        </w:tc>
        <w:tc>
          <w:tcPr>
            <w:tcW w:w="1951" w:type="dxa"/>
            <w:shd w:val="clear" w:color="auto" w:fill="009EC2" w:themeFill="text2"/>
          </w:tcPr>
          <w:p w14:paraId="6F0AC8C4" w14:textId="59BC3B76" w:rsidR="003027C8" w:rsidRPr="007F490D" w:rsidRDefault="003027C8" w:rsidP="007548E2">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F490D">
              <w:rPr>
                <w:color w:val="FFFFFF" w:themeColor="background1"/>
                <w:sz w:val="20"/>
              </w:rPr>
              <w:t>Selection of market scenario</w:t>
            </w:r>
          </w:p>
        </w:tc>
        <w:tc>
          <w:tcPr>
            <w:tcW w:w="2363" w:type="dxa"/>
            <w:gridSpan w:val="2"/>
            <w:shd w:val="clear" w:color="auto" w:fill="009EC2" w:themeFill="text2"/>
          </w:tcPr>
          <w:p w14:paraId="0BC4F9FF" w14:textId="2B5E0040" w:rsidR="003027C8" w:rsidRPr="007F490D" w:rsidRDefault="008E3616" w:rsidP="007548E2">
            <w:pPr>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rPr>
            </w:pPr>
            <w:r>
              <w:rPr>
                <w:color w:val="FFFFFF" w:themeColor="background1"/>
                <w:sz w:val="20"/>
              </w:rPr>
              <w:t>Market scenario independent add-ons</w:t>
            </w:r>
          </w:p>
        </w:tc>
      </w:tr>
      <w:tr w:rsidR="003027C8" w14:paraId="01B947E9" w14:textId="77777777" w:rsidTr="00F3264A">
        <w:trPr>
          <w:gridAfter w:val="1"/>
          <w:wAfter w:w="108" w:type="dxa"/>
        </w:trPr>
        <w:tc>
          <w:tcPr>
            <w:cnfStyle w:val="001000000000" w:firstRow="0" w:lastRow="0" w:firstColumn="1" w:lastColumn="0" w:oddVBand="0" w:evenVBand="0" w:oddHBand="0" w:evenHBand="0" w:firstRowFirstColumn="0" w:firstRowLastColumn="0" w:lastRowFirstColumn="0" w:lastRowLastColumn="0"/>
            <w:tcW w:w="0" w:type="dxa"/>
          </w:tcPr>
          <w:p w14:paraId="7D5B1B19" w14:textId="45FE2D31" w:rsidR="003027C8" w:rsidRPr="007F490D" w:rsidRDefault="003027C8" w:rsidP="007548E2">
            <w:pPr>
              <w:spacing w:before="0" w:after="0"/>
              <w:rPr>
                <w:sz w:val="20"/>
              </w:rPr>
            </w:pPr>
            <w:r w:rsidRPr="007F490D">
              <w:rPr>
                <w:sz w:val="20"/>
              </w:rPr>
              <w:t>Cover</w:t>
            </w:r>
            <w:r w:rsidR="006666D2">
              <w:rPr>
                <w:sz w:val="20"/>
              </w:rPr>
              <w:t>-</w:t>
            </w:r>
            <w:r w:rsidRPr="007F490D">
              <w:rPr>
                <w:sz w:val="20"/>
              </w:rPr>
              <w:t>1</w:t>
            </w:r>
          </w:p>
        </w:tc>
        <w:tc>
          <w:tcPr>
            <w:tcW w:w="1108" w:type="dxa"/>
          </w:tcPr>
          <w:p w14:paraId="2B2B8C56" w14:textId="7B447AB0" w:rsidR="003027C8" w:rsidRPr="007F490D" w:rsidRDefault="003027C8" w:rsidP="007548E2">
            <w:pPr>
              <w:spacing w:before="0" w:after="0"/>
              <w:cnfStyle w:val="000000000000" w:firstRow="0" w:lastRow="0" w:firstColumn="0" w:lastColumn="0" w:oddVBand="0" w:evenVBand="0" w:oddHBand="0" w:evenHBand="0" w:firstRowFirstColumn="0" w:firstRowLastColumn="0" w:lastRowFirstColumn="0" w:lastRowLastColumn="0"/>
              <w:rPr>
                <w:sz w:val="20"/>
              </w:rPr>
            </w:pPr>
            <w:r w:rsidRPr="007F490D">
              <w:rPr>
                <w:sz w:val="20"/>
              </w:rPr>
              <w:t xml:space="preserve">Default fund </w:t>
            </w:r>
            <w:r>
              <w:rPr>
                <w:sz w:val="20"/>
              </w:rPr>
              <w:t>sizing</w:t>
            </w:r>
          </w:p>
        </w:tc>
        <w:tc>
          <w:tcPr>
            <w:tcW w:w="0" w:type="dxa"/>
          </w:tcPr>
          <w:p w14:paraId="24576163" w14:textId="5B008605" w:rsidR="003027C8" w:rsidRDefault="003027C8" w:rsidP="007548E2">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Legal Entity Group</w:t>
            </w:r>
          </w:p>
        </w:tc>
        <w:tc>
          <w:tcPr>
            <w:tcW w:w="1563" w:type="dxa"/>
          </w:tcPr>
          <w:p w14:paraId="07D5CF8C" w14:textId="09127677" w:rsidR="003027C8" w:rsidRPr="007F490D" w:rsidRDefault="003027C8" w:rsidP="007548E2">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Top 1</w:t>
            </w:r>
            <w:r w:rsidRPr="007F490D">
              <w:rPr>
                <w:sz w:val="20"/>
              </w:rPr>
              <w:t xml:space="preserve">, or </w:t>
            </w:r>
          </w:p>
          <w:p w14:paraId="40B39BA1" w14:textId="3FE02680" w:rsidR="003027C8" w:rsidRPr="007F490D" w:rsidRDefault="003027C8" w:rsidP="007548E2">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 xml:space="preserve">Top </w:t>
            </w:r>
            <w:r w:rsidRPr="007F490D">
              <w:rPr>
                <w:sz w:val="20"/>
              </w:rPr>
              <w:t xml:space="preserve">2 </w:t>
            </w:r>
            <w:r w:rsidR="008E3616">
              <w:rPr>
                <w:sz w:val="20"/>
              </w:rPr>
              <w:t>&amp;</w:t>
            </w:r>
            <w:r w:rsidRPr="007F490D">
              <w:rPr>
                <w:sz w:val="20"/>
              </w:rPr>
              <w:t xml:space="preserve"> 3</w:t>
            </w:r>
          </w:p>
        </w:tc>
        <w:tc>
          <w:tcPr>
            <w:tcW w:w="1951" w:type="dxa"/>
          </w:tcPr>
          <w:p w14:paraId="456647E7" w14:textId="39E1599A" w:rsidR="003027C8" w:rsidRPr="007F490D" w:rsidRDefault="003027C8" w:rsidP="007548E2">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 xml:space="preserve">Scenario generating worst individual </w:t>
            </w:r>
            <w:proofErr w:type="spellStart"/>
            <w:r>
              <w:rPr>
                <w:sz w:val="20"/>
              </w:rPr>
              <w:t>CCaR</w:t>
            </w:r>
            <w:proofErr w:type="spellEnd"/>
            <w:r>
              <w:rPr>
                <w:sz w:val="20"/>
              </w:rPr>
              <w:t xml:space="preserve"> (Top 1</w:t>
            </w:r>
            <w:proofErr w:type="gramStart"/>
            <w:r>
              <w:rPr>
                <w:sz w:val="20"/>
              </w:rPr>
              <w:t>),  Scenario</w:t>
            </w:r>
            <w:proofErr w:type="gramEnd"/>
            <w:r>
              <w:rPr>
                <w:sz w:val="20"/>
              </w:rPr>
              <w:t xml:space="preserve"> generating worst combined loss of 2</w:t>
            </w:r>
            <w:r w:rsidRPr="00B00C92">
              <w:rPr>
                <w:sz w:val="20"/>
                <w:vertAlign w:val="superscript"/>
              </w:rPr>
              <w:t>nd</w:t>
            </w:r>
            <w:r>
              <w:rPr>
                <w:sz w:val="20"/>
              </w:rPr>
              <w:t xml:space="preserve"> and 3</w:t>
            </w:r>
            <w:r w:rsidRPr="00B00C92">
              <w:rPr>
                <w:sz w:val="20"/>
                <w:vertAlign w:val="superscript"/>
              </w:rPr>
              <w:t>rd</w:t>
            </w:r>
            <w:r>
              <w:rPr>
                <w:sz w:val="20"/>
              </w:rPr>
              <w:t xml:space="preserve"> member (Top 2</w:t>
            </w:r>
            <w:r w:rsidR="00E15033">
              <w:rPr>
                <w:sz w:val="20"/>
              </w:rPr>
              <w:t xml:space="preserve"> &amp; 3</w:t>
            </w:r>
            <w:r>
              <w:rPr>
                <w:sz w:val="20"/>
              </w:rPr>
              <w:t>)</w:t>
            </w:r>
          </w:p>
        </w:tc>
        <w:tc>
          <w:tcPr>
            <w:tcW w:w="2255" w:type="dxa"/>
          </w:tcPr>
          <w:p w14:paraId="1DDED229" w14:textId="43187B81" w:rsidR="003027C8" w:rsidRPr="00F3264A" w:rsidRDefault="003027C8" w:rsidP="00F3264A">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sz w:val="20"/>
              </w:rPr>
            </w:pPr>
            <w:r w:rsidRPr="00F3264A">
              <w:rPr>
                <w:sz w:val="20"/>
              </w:rPr>
              <w:t>Base liquidation cost</w:t>
            </w:r>
          </w:p>
          <w:p w14:paraId="7FE14FA4" w14:textId="2CECC7D9" w:rsidR="003027C8" w:rsidRPr="00F3264A" w:rsidRDefault="003027C8" w:rsidP="00F3264A">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sz w:val="20"/>
              </w:rPr>
            </w:pPr>
            <w:r w:rsidRPr="00F3264A">
              <w:rPr>
                <w:sz w:val="20"/>
              </w:rPr>
              <w:t>Knock-on adjust</w:t>
            </w:r>
            <w:r w:rsidR="00827E95">
              <w:rPr>
                <w:sz w:val="20"/>
              </w:rPr>
              <w:t>ment factor</w:t>
            </w:r>
            <w:r w:rsidR="004F0557">
              <w:rPr>
                <w:sz w:val="20"/>
              </w:rPr>
              <w:t xml:space="preserve"> </w:t>
            </w:r>
            <w:r w:rsidRPr="00F3264A">
              <w:rPr>
                <w:sz w:val="20"/>
              </w:rPr>
              <w:t>solely for scenario of</w:t>
            </w:r>
            <w:r w:rsidR="008E3616" w:rsidRPr="00F3264A">
              <w:rPr>
                <w:sz w:val="20"/>
              </w:rPr>
              <w:t xml:space="preserve"> Top</w:t>
            </w:r>
            <w:r w:rsidRPr="00F3264A">
              <w:rPr>
                <w:sz w:val="20"/>
              </w:rPr>
              <w:t xml:space="preserve"> 2</w:t>
            </w:r>
            <w:r w:rsidR="008E3616" w:rsidRPr="00F3264A">
              <w:rPr>
                <w:sz w:val="20"/>
              </w:rPr>
              <w:t xml:space="preserve"> &amp; </w:t>
            </w:r>
            <w:r w:rsidRPr="00F3264A">
              <w:rPr>
                <w:sz w:val="20"/>
              </w:rPr>
              <w:t>3</w:t>
            </w:r>
            <w:r w:rsidR="008E3616" w:rsidRPr="00F3264A">
              <w:rPr>
                <w:sz w:val="20"/>
              </w:rPr>
              <w:t xml:space="preserve"> </w:t>
            </w:r>
          </w:p>
        </w:tc>
      </w:tr>
      <w:tr w:rsidR="003027C8" w14:paraId="41DD684E" w14:textId="77777777" w:rsidTr="00F3264A">
        <w:trPr>
          <w:gridAfter w:val="1"/>
          <w:wAfter w:w="108" w:type="dxa"/>
        </w:trPr>
        <w:tc>
          <w:tcPr>
            <w:cnfStyle w:val="001000000000" w:firstRow="0" w:lastRow="0" w:firstColumn="1" w:lastColumn="0" w:oddVBand="0" w:evenVBand="0" w:oddHBand="0" w:evenHBand="0" w:firstRowFirstColumn="0" w:firstRowLastColumn="0" w:lastRowFirstColumn="0" w:lastRowLastColumn="0"/>
            <w:tcW w:w="0" w:type="dxa"/>
          </w:tcPr>
          <w:p w14:paraId="3C08568A" w14:textId="12BB8A0E" w:rsidR="003027C8" w:rsidRPr="007F490D" w:rsidRDefault="003027C8" w:rsidP="003027C8">
            <w:pPr>
              <w:spacing w:before="0" w:after="0"/>
              <w:rPr>
                <w:sz w:val="20"/>
              </w:rPr>
            </w:pPr>
            <w:r w:rsidRPr="007F490D">
              <w:rPr>
                <w:sz w:val="20"/>
              </w:rPr>
              <w:t>Cover</w:t>
            </w:r>
            <w:r w:rsidR="006666D2">
              <w:rPr>
                <w:sz w:val="20"/>
              </w:rPr>
              <w:t>-</w:t>
            </w:r>
            <w:r w:rsidRPr="007F490D">
              <w:rPr>
                <w:sz w:val="20"/>
              </w:rPr>
              <w:t>2</w:t>
            </w:r>
          </w:p>
        </w:tc>
        <w:tc>
          <w:tcPr>
            <w:tcW w:w="1108" w:type="dxa"/>
          </w:tcPr>
          <w:p w14:paraId="26ECBC03" w14:textId="53B77348" w:rsidR="003027C8" w:rsidRPr="007F490D" w:rsidRDefault="003027C8"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sidRPr="007F490D">
              <w:rPr>
                <w:sz w:val="20"/>
              </w:rPr>
              <w:t>Clearing capital</w:t>
            </w:r>
            <w:r>
              <w:rPr>
                <w:sz w:val="20"/>
              </w:rPr>
              <w:t xml:space="preserve"> sizing</w:t>
            </w:r>
          </w:p>
        </w:tc>
        <w:tc>
          <w:tcPr>
            <w:tcW w:w="0" w:type="dxa"/>
          </w:tcPr>
          <w:p w14:paraId="79CB73BF" w14:textId="4FFCCB1A" w:rsidR="003027C8" w:rsidRDefault="003027C8"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Legal Entity Group</w:t>
            </w:r>
          </w:p>
        </w:tc>
        <w:tc>
          <w:tcPr>
            <w:tcW w:w="1563" w:type="dxa"/>
          </w:tcPr>
          <w:p w14:paraId="62F57B55" w14:textId="334C210A" w:rsidR="003027C8" w:rsidRPr="007F490D" w:rsidRDefault="003027C8"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 xml:space="preserve">Top </w:t>
            </w:r>
            <w:r w:rsidRPr="007F490D">
              <w:rPr>
                <w:sz w:val="20"/>
              </w:rPr>
              <w:t xml:space="preserve">1 </w:t>
            </w:r>
            <w:r w:rsidR="008E3616">
              <w:rPr>
                <w:sz w:val="20"/>
              </w:rPr>
              <w:t>&amp;</w:t>
            </w:r>
            <w:r w:rsidRPr="007F490D">
              <w:rPr>
                <w:sz w:val="20"/>
              </w:rPr>
              <w:t xml:space="preserve"> 2</w:t>
            </w:r>
          </w:p>
        </w:tc>
        <w:tc>
          <w:tcPr>
            <w:tcW w:w="1951" w:type="dxa"/>
          </w:tcPr>
          <w:p w14:paraId="7E894737" w14:textId="6A95149A" w:rsidR="003027C8" w:rsidRPr="007F490D" w:rsidRDefault="003027C8"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Scenario generating worst combined loss of 1</w:t>
            </w:r>
            <w:r w:rsidRPr="00B00C92">
              <w:rPr>
                <w:sz w:val="20"/>
                <w:vertAlign w:val="superscript"/>
              </w:rPr>
              <w:t>st</w:t>
            </w:r>
            <w:r>
              <w:rPr>
                <w:sz w:val="20"/>
              </w:rPr>
              <w:t xml:space="preserve"> and </w:t>
            </w:r>
            <w:proofErr w:type="gramStart"/>
            <w:r>
              <w:rPr>
                <w:sz w:val="20"/>
              </w:rPr>
              <w:t>2</w:t>
            </w:r>
            <w:r w:rsidRPr="00B00C92">
              <w:rPr>
                <w:sz w:val="20"/>
                <w:vertAlign w:val="superscript"/>
              </w:rPr>
              <w:t>rd</w:t>
            </w:r>
            <w:proofErr w:type="gramEnd"/>
            <w:r>
              <w:rPr>
                <w:sz w:val="20"/>
              </w:rPr>
              <w:t xml:space="preserve"> member</w:t>
            </w:r>
          </w:p>
        </w:tc>
        <w:tc>
          <w:tcPr>
            <w:tcW w:w="2255" w:type="dxa"/>
          </w:tcPr>
          <w:p w14:paraId="174F5C57" w14:textId="3FABF3BB" w:rsidR="003027C8" w:rsidRPr="00F3264A" w:rsidRDefault="003027C8" w:rsidP="00F3264A">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sz w:val="20"/>
              </w:rPr>
            </w:pPr>
            <w:r w:rsidRPr="00F3264A">
              <w:rPr>
                <w:sz w:val="20"/>
              </w:rPr>
              <w:t>Base liquidation cost</w:t>
            </w:r>
          </w:p>
          <w:p w14:paraId="737DF2ED" w14:textId="495DB664" w:rsidR="003027C8" w:rsidRPr="00F3264A" w:rsidRDefault="00827E95" w:rsidP="00F3264A">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sz w:val="20"/>
              </w:rPr>
            </w:pPr>
            <w:r w:rsidRPr="00A3367C">
              <w:rPr>
                <w:sz w:val="20"/>
              </w:rPr>
              <w:t>Knock-on adjust</w:t>
            </w:r>
            <w:r>
              <w:rPr>
                <w:sz w:val="20"/>
              </w:rPr>
              <w:t>ment factor</w:t>
            </w:r>
          </w:p>
        </w:tc>
      </w:tr>
      <w:tr w:rsidR="003027C8" w14:paraId="7FFC9450" w14:textId="77777777" w:rsidTr="00F3264A">
        <w:trPr>
          <w:gridAfter w:val="1"/>
          <w:wAfter w:w="108" w:type="dxa"/>
        </w:trPr>
        <w:tc>
          <w:tcPr>
            <w:cnfStyle w:val="001000000000" w:firstRow="0" w:lastRow="0" w:firstColumn="1" w:lastColumn="0" w:oddVBand="0" w:evenVBand="0" w:oddHBand="0" w:evenHBand="0" w:firstRowFirstColumn="0" w:firstRowLastColumn="0" w:lastRowFirstColumn="0" w:lastRowLastColumn="0"/>
            <w:tcW w:w="0" w:type="dxa"/>
          </w:tcPr>
          <w:p w14:paraId="65F75C10" w14:textId="7B46F734" w:rsidR="003027C8" w:rsidRPr="007F490D" w:rsidRDefault="003027C8" w:rsidP="003027C8">
            <w:pPr>
              <w:spacing w:before="0" w:after="0"/>
              <w:rPr>
                <w:sz w:val="20"/>
              </w:rPr>
            </w:pPr>
            <w:r w:rsidRPr="007F490D">
              <w:rPr>
                <w:sz w:val="20"/>
              </w:rPr>
              <w:t>Worst individual</w:t>
            </w:r>
          </w:p>
        </w:tc>
        <w:tc>
          <w:tcPr>
            <w:tcW w:w="1108" w:type="dxa"/>
          </w:tcPr>
          <w:p w14:paraId="5D93C8F2" w14:textId="28472DF4" w:rsidR="003027C8" w:rsidRPr="007F490D" w:rsidRDefault="008E3616"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Stress IM add-on</w:t>
            </w:r>
          </w:p>
        </w:tc>
        <w:tc>
          <w:tcPr>
            <w:tcW w:w="0" w:type="dxa"/>
          </w:tcPr>
          <w:p w14:paraId="48864058" w14:textId="0FADE596" w:rsidR="003027C8" w:rsidRDefault="003027C8"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MRA</w:t>
            </w:r>
          </w:p>
        </w:tc>
        <w:tc>
          <w:tcPr>
            <w:tcW w:w="1563" w:type="dxa"/>
          </w:tcPr>
          <w:p w14:paraId="0990E4C7" w14:textId="410EA59C" w:rsidR="003027C8" w:rsidRPr="007F490D" w:rsidRDefault="008E3616"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N/A</w:t>
            </w:r>
          </w:p>
        </w:tc>
        <w:tc>
          <w:tcPr>
            <w:tcW w:w="1951" w:type="dxa"/>
          </w:tcPr>
          <w:p w14:paraId="16A5593F" w14:textId="5ABC4A68" w:rsidR="003027C8" w:rsidRPr="007F490D" w:rsidRDefault="008E3616" w:rsidP="003027C8">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Worst scenario chosen for each (i.e. results not scenario consistent)</w:t>
            </w:r>
          </w:p>
        </w:tc>
        <w:tc>
          <w:tcPr>
            <w:tcW w:w="2255" w:type="dxa"/>
          </w:tcPr>
          <w:p w14:paraId="605D8D24" w14:textId="39C8C793" w:rsidR="003027C8" w:rsidRPr="00F3264A" w:rsidRDefault="003027C8" w:rsidP="00F3264A">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sz w:val="20"/>
              </w:rPr>
            </w:pPr>
            <w:r w:rsidRPr="00F3264A">
              <w:rPr>
                <w:sz w:val="20"/>
              </w:rPr>
              <w:t>Base liquidation cost</w:t>
            </w:r>
          </w:p>
        </w:tc>
      </w:tr>
      <w:tr w:rsidR="008E3616" w14:paraId="151F83C9" w14:textId="77777777" w:rsidTr="00F3264A">
        <w:trPr>
          <w:gridAfter w:val="1"/>
          <w:wAfter w:w="108" w:type="dxa"/>
        </w:trPr>
        <w:tc>
          <w:tcPr>
            <w:cnfStyle w:val="001000000000" w:firstRow="0" w:lastRow="0" w:firstColumn="1" w:lastColumn="0" w:oddVBand="0" w:evenVBand="0" w:oddHBand="0" w:evenHBand="0" w:firstRowFirstColumn="0" w:firstRowLastColumn="0" w:lastRowFirstColumn="0" w:lastRowLastColumn="0"/>
            <w:tcW w:w="0" w:type="dxa"/>
          </w:tcPr>
          <w:p w14:paraId="484A9EE4" w14:textId="5819F5AA" w:rsidR="008E3616" w:rsidRPr="007F490D" w:rsidRDefault="008E3616" w:rsidP="008E3616">
            <w:pPr>
              <w:spacing w:before="0" w:after="0"/>
              <w:rPr>
                <w:sz w:val="20"/>
              </w:rPr>
            </w:pPr>
            <w:r w:rsidRPr="007F490D">
              <w:rPr>
                <w:sz w:val="20"/>
              </w:rPr>
              <w:t>Worst individual</w:t>
            </w:r>
          </w:p>
        </w:tc>
        <w:tc>
          <w:tcPr>
            <w:tcW w:w="1108" w:type="dxa"/>
          </w:tcPr>
          <w:p w14:paraId="71BE5D54" w14:textId="3381D1CC" w:rsidR="008E3616" w:rsidRDefault="008E3616" w:rsidP="008E3616">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Reporting, analyses in narrative, etc.</w:t>
            </w:r>
          </w:p>
        </w:tc>
        <w:tc>
          <w:tcPr>
            <w:tcW w:w="0" w:type="dxa"/>
          </w:tcPr>
          <w:p w14:paraId="2F0F4AD0" w14:textId="03B83225" w:rsidR="008E3616" w:rsidRDefault="008E3616" w:rsidP="008E3616">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Legal Entity Group</w:t>
            </w:r>
          </w:p>
        </w:tc>
        <w:tc>
          <w:tcPr>
            <w:tcW w:w="1563" w:type="dxa"/>
          </w:tcPr>
          <w:p w14:paraId="78B5EB98" w14:textId="46B79743" w:rsidR="008E3616" w:rsidRDefault="008E3616" w:rsidP="008E3616">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N/A</w:t>
            </w:r>
          </w:p>
        </w:tc>
        <w:tc>
          <w:tcPr>
            <w:tcW w:w="1951" w:type="dxa"/>
          </w:tcPr>
          <w:p w14:paraId="761C24D8" w14:textId="5182D33D" w:rsidR="008E3616" w:rsidRDefault="008E3616" w:rsidP="008E3616">
            <w:pPr>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Worst scenario chosen for each (i.e. results not scenario consistent)</w:t>
            </w:r>
          </w:p>
        </w:tc>
        <w:tc>
          <w:tcPr>
            <w:tcW w:w="2255" w:type="dxa"/>
          </w:tcPr>
          <w:p w14:paraId="30BE71C6" w14:textId="37E0860E" w:rsidR="008E3616" w:rsidRPr="00F3264A" w:rsidRDefault="008E3616" w:rsidP="00F3264A">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sz w:val="20"/>
              </w:rPr>
            </w:pPr>
            <w:r w:rsidRPr="00F3264A">
              <w:rPr>
                <w:sz w:val="20"/>
              </w:rPr>
              <w:t>Base liquidation cost</w:t>
            </w:r>
          </w:p>
        </w:tc>
      </w:tr>
    </w:tbl>
    <w:p w14:paraId="0DB3BF1B" w14:textId="237FEA24" w:rsidR="00181CE3" w:rsidRDefault="00B00C92" w:rsidP="00060DA6">
      <w:pPr>
        <w:rPr>
          <w:lang w:val="en-US"/>
        </w:rPr>
      </w:pPr>
      <w:r>
        <w:rPr>
          <w:i/>
        </w:rPr>
        <w:t xml:space="preserve">Note: </w:t>
      </w:r>
      <w:r w:rsidR="004F0557">
        <w:rPr>
          <w:i/>
        </w:rPr>
        <w:t>T</w:t>
      </w:r>
      <w:r>
        <w:rPr>
          <w:i/>
        </w:rPr>
        <w:t>he knock-on adjusted concentration add-on is solely applied if two members default simultaneously</w:t>
      </w:r>
      <w:r w:rsidR="008E3616">
        <w:rPr>
          <w:i/>
        </w:rPr>
        <w:t>, as the concentration add-on in IM is clearing member specific and does not consider a potential additional default</w:t>
      </w:r>
      <w:r w:rsidR="00AB3CD7">
        <w:rPr>
          <w:i/>
        </w:rPr>
        <w:t>.</w:t>
      </w:r>
    </w:p>
    <w:p w14:paraId="6804A034" w14:textId="50D4EB5D" w:rsidR="00C03D6E" w:rsidRPr="00991392" w:rsidRDefault="00C03D6E" w:rsidP="00060DA6">
      <w:bookmarkStart w:id="181" w:name="_Toc3821933"/>
      <w:bookmarkStart w:id="182" w:name="_Toc3822101"/>
      <w:bookmarkStart w:id="183" w:name="_Toc3822337"/>
      <w:bookmarkStart w:id="184" w:name="_Toc3822434"/>
      <w:bookmarkStart w:id="185" w:name="_Toc3904182"/>
      <w:bookmarkStart w:id="186" w:name="_Toc3971971"/>
      <w:bookmarkStart w:id="187" w:name="_Toc3972065"/>
      <w:bookmarkStart w:id="188" w:name="_Ref40209235"/>
      <w:bookmarkEnd w:id="181"/>
      <w:bookmarkEnd w:id="182"/>
      <w:bookmarkEnd w:id="183"/>
      <w:bookmarkEnd w:id="184"/>
      <w:bookmarkEnd w:id="185"/>
      <w:bookmarkEnd w:id="186"/>
      <w:bookmarkEnd w:id="187"/>
      <w:r>
        <w:rPr>
          <w:lang w:val="en-US"/>
        </w:rPr>
        <w:t xml:space="preserve"> </w:t>
      </w:r>
    </w:p>
    <w:p w14:paraId="46A128EE" w14:textId="77777777" w:rsidR="00F56E9C" w:rsidRDefault="00F56E9C" w:rsidP="00FE5157">
      <w:pPr>
        <w:pStyle w:val="BodyText"/>
      </w:pPr>
      <w:bookmarkStart w:id="189" w:name="_Toc3822105"/>
      <w:bookmarkStart w:id="190" w:name="_Toc3822341"/>
      <w:bookmarkStart w:id="191" w:name="_Toc3822438"/>
      <w:bookmarkStart w:id="192" w:name="_Toc3822106"/>
      <w:bookmarkStart w:id="193" w:name="_Toc3822342"/>
      <w:bookmarkStart w:id="194" w:name="_Toc3822439"/>
      <w:bookmarkStart w:id="195" w:name="_Toc3822343"/>
      <w:bookmarkStart w:id="196" w:name="_Toc3822440"/>
      <w:bookmarkStart w:id="197" w:name="_Toc3822344"/>
      <w:bookmarkStart w:id="198" w:name="_Toc3822441"/>
      <w:bookmarkStart w:id="199" w:name="_Toc3822345"/>
      <w:bookmarkStart w:id="200" w:name="_Toc3822442"/>
      <w:bookmarkStart w:id="201" w:name="_Toc3822346"/>
      <w:bookmarkStart w:id="202" w:name="_Toc3822443"/>
      <w:bookmarkStart w:id="203" w:name="_Toc3822347"/>
      <w:bookmarkStart w:id="204" w:name="_Toc3822444"/>
      <w:bookmarkStart w:id="205" w:name="_Toc3822348"/>
      <w:bookmarkStart w:id="206" w:name="_Toc3822445"/>
      <w:bookmarkStart w:id="207" w:name="_Toc3821940"/>
      <w:bookmarkStart w:id="208" w:name="_Toc3822109"/>
      <w:bookmarkStart w:id="209" w:name="_Toc3822349"/>
      <w:bookmarkStart w:id="210" w:name="_Toc3822446"/>
      <w:bookmarkStart w:id="211" w:name="_Toc3821941"/>
      <w:bookmarkStart w:id="212" w:name="_Toc3822110"/>
      <w:bookmarkStart w:id="213" w:name="_Toc3822350"/>
      <w:bookmarkStart w:id="214" w:name="_Toc3822447"/>
      <w:bookmarkStart w:id="215" w:name="_Toc3821942"/>
      <w:bookmarkStart w:id="216" w:name="_Toc3822111"/>
      <w:bookmarkStart w:id="217" w:name="_Toc3822351"/>
      <w:bookmarkStart w:id="218" w:name="_Toc3822448"/>
      <w:bookmarkStart w:id="219" w:name="_Toc3821943"/>
      <w:bookmarkStart w:id="220" w:name="_Toc3822112"/>
      <w:bookmarkStart w:id="221" w:name="_Toc3822352"/>
      <w:bookmarkStart w:id="222" w:name="_Toc3822449"/>
      <w:bookmarkStart w:id="223" w:name="_Toc3821944"/>
      <w:bookmarkStart w:id="224" w:name="_Toc3822113"/>
      <w:bookmarkStart w:id="225" w:name="_Toc3822353"/>
      <w:bookmarkStart w:id="226" w:name="_Toc3822450"/>
      <w:bookmarkStart w:id="227" w:name="_Toc3843892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EAFE890" w14:textId="5FF7B5D7" w:rsidR="006B3211" w:rsidRPr="00210160" w:rsidRDefault="006B3211" w:rsidP="006B3211">
      <w:pPr>
        <w:rPr>
          <w:color w:val="009EC2" w:themeColor="text2"/>
        </w:rPr>
      </w:pPr>
      <w:bookmarkStart w:id="228" w:name="_Toc3904196"/>
      <w:bookmarkStart w:id="229" w:name="_Toc38438934"/>
      <w:bookmarkEnd w:id="227"/>
      <w:bookmarkEnd w:id="228"/>
    </w:p>
    <w:p w14:paraId="3CF0425B" w14:textId="77777777" w:rsidR="00644556" w:rsidRPr="00210160" w:rsidRDefault="00644556" w:rsidP="007B040A">
      <w:pPr>
        <w:pStyle w:val="Heading1"/>
        <w:numPr>
          <w:ilvl w:val="0"/>
          <w:numId w:val="26"/>
        </w:numPr>
        <w:ind w:firstLine="0"/>
      </w:pPr>
      <w:bookmarkStart w:id="230" w:name="_Toc233032391"/>
      <w:r w:rsidRPr="00210160">
        <w:lastRenderedPageBreak/>
        <w:t>Model use</w:t>
      </w:r>
      <w:bookmarkEnd w:id="230"/>
    </w:p>
    <w:p w14:paraId="682E6271" w14:textId="77777777" w:rsidR="00644556" w:rsidRPr="00210160" w:rsidRDefault="00644556" w:rsidP="00644556">
      <w:r w:rsidRPr="00210160">
        <w:t xml:space="preserve">The primary use of the </w:t>
      </w:r>
      <w:proofErr w:type="spellStart"/>
      <w:r w:rsidRPr="00210160">
        <w:t>CCaR</w:t>
      </w:r>
      <w:proofErr w:type="spellEnd"/>
      <w:r w:rsidRPr="00210160">
        <w:t xml:space="preserve"> model is to calculate cover-1 and cover-2, which have downstream dependencies in sizing the default waterfall at Nasdaq Clearing (for details, please refer to the Default Fund Policy) and is being used to ensure that Nasdaq Clearing has sufficient liquid resources as part of the Liquidity at Risk framework. In addition, </w:t>
      </w:r>
      <w:proofErr w:type="spellStart"/>
      <w:r w:rsidRPr="00210160">
        <w:t>CCaR</w:t>
      </w:r>
      <w:proofErr w:type="spellEnd"/>
      <w:r w:rsidRPr="00210160">
        <w:t xml:space="preserve"> model output is used in the stress add-on, for stress testing reports and to inform potential changes or re-calibration of the IM models.</w:t>
      </w:r>
    </w:p>
    <w:p w14:paraId="56836A88" w14:textId="68E378F0" w:rsidR="00644556" w:rsidRPr="00210160" w:rsidRDefault="00644556" w:rsidP="00644556">
      <w:r w:rsidRPr="00210160">
        <w:t xml:space="preserve">The testing of the </w:t>
      </w:r>
      <w:proofErr w:type="spellStart"/>
      <w:r w:rsidRPr="00210160">
        <w:t>CCaR</w:t>
      </w:r>
      <w:proofErr w:type="spellEnd"/>
      <w:r w:rsidRPr="00210160">
        <w:t xml:space="preserve"> mode</w:t>
      </w:r>
      <w:r w:rsidR="00FC6FB2">
        <w:t>l assumptions</w:t>
      </w:r>
      <w:r w:rsidRPr="00210160">
        <w:t>, referred to as the “model s</w:t>
      </w:r>
      <w:r w:rsidR="00FC6FB2">
        <w:t>ensitivity</w:t>
      </w:r>
      <w:r w:rsidRPr="00210160">
        <w:t xml:space="preserve"> testing”</w:t>
      </w:r>
      <w:r w:rsidR="00FC6FB2">
        <w:t xml:space="preserve"> and reverse stress testing</w:t>
      </w:r>
      <w:r w:rsidRPr="00210160">
        <w:t xml:space="preserve">, involves increasing the number of defaults assumed, increasing the liquidation period of cleared portfolios, breaking assumed correlations and increasing the stress parameter levels. Should any of these model testing areas generate concerning results (e.g. coverage breaches, excessive stress losses for single members in specific scenarios, high model sensitivity to specific parameter changes in reverse stress testing, etc.), this triggers a review of the </w:t>
      </w:r>
      <w:proofErr w:type="spellStart"/>
      <w:r w:rsidRPr="00210160">
        <w:t>CCaR</w:t>
      </w:r>
      <w:proofErr w:type="spellEnd"/>
      <w:r w:rsidRPr="00210160">
        <w:t xml:space="preserve"> model or any other model methodologies and assumptions as relevant.</w:t>
      </w:r>
    </w:p>
    <w:p w14:paraId="0A9AC950" w14:textId="77777777" w:rsidR="00644556" w:rsidRPr="00210160" w:rsidRDefault="00644556" w:rsidP="007B040A">
      <w:pPr>
        <w:pStyle w:val="Heading2"/>
        <w:numPr>
          <w:ilvl w:val="1"/>
          <w:numId w:val="26"/>
        </w:numPr>
        <w:ind w:right="-8"/>
      </w:pPr>
      <w:bookmarkStart w:id="231" w:name="_Toc40786604"/>
      <w:bookmarkStart w:id="232" w:name="_Ref42497816"/>
      <w:bookmarkStart w:id="233" w:name="_Ref42501865"/>
      <w:bookmarkStart w:id="234" w:name="_Toc233032392"/>
      <w:r w:rsidRPr="00210160">
        <w:t>Intended model use</w:t>
      </w:r>
      <w:bookmarkEnd w:id="231"/>
      <w:bookmarkEnd w:id="232"/>
      <w:bookmarkEnd w:id="233"/>
      <w:bookmarkEnd w:id="234"/>
    </w:p>
    <w:p w14:paraId="6F29B6BC" w14:textId="77777777" w:rsidR="00644556" w:rsidRPr="00210160" w:rsidRDefault="00644556" w:rsidP="00644556">
      <w:pPr>
        <w:pStyle w:val="Bullets"/>
        <w:rPr>
          <w:noProof w:val="0"/>
          <w:lang w:val="en-US"/>
        </w:rPr>
      </w:pPr>
      <w:r w:rsidRPr="00210160">
        <w:rPr>
          <w:noProof w:val="0"/>
          <w:lang w:val="en-US"/>
        </w:rPr>
        <w:t>Calculation of cover 1 and cover 2 for default waterfall sizing and input to liquidity at risk estimation</w:t>
      </w:r>
    </w:p>
    <w:p w14:paraId="2E543EBD" w14:textId="77777777" w:rsidR="00644556" w:rsidRPr="00210160" w:rsidRDefault="00644556" w:rsidP="00644556">
      <w:pPr>
        <w:pStyle w:val="Bullets"/>
        <w:rPr>
          <w:noProof w:val="0"/>
          <w:lang w:val="en-US"/>
        </w:rPr>
      </w:pPr>
      <w:r w:rsidRPr="00210160">
        <w:rPr>
          <w:noProof w:val="0"/>
          <w:lang w:val="en-US"/>
        </w:rPr>
        <w:t>Calculation of worst individual stress loss for e.g. use in the stress IM add-on</w:t>
      </w:r>
    </w:p>
    <w:p w14:paraId="70F796A0" w14:textId="77777777" w:rsidR="00644556" w:rsidRPr="00210160" w:rsidRDefault="00644556" w:rsidP="00644556">
      <w:pPr>
        <w:pStyle w:val="Bullets"/>
        <w:rPr>
          <w:noProof w:val="0"/>
          <w:lang w:val="en-US"/>
        </w:rPr>
      </w:pPr>
      <w:r w:rsidRPr="00210160">
        <w:rPr>
          <w:noProof w:val="0"/>
          <w:lang w:val="en-US"/>
        </w:rPr>
        <w:t>Generation of regular stress test reports</w:t>
      </w:r>
    </w:p>
    <w:p w14:paraId="655A5A47" w14:textId="77777777" w:rsidR="00644556" w:rsidRPr="00210160" w:rsidRDefault="00644556" w:rsidP="00644556">
      <w:pPr>
        <w:pStyle w:val="Bullets"/>
        <w:rPr>
          <w:noProof w:val="0"/>
          <w:lang w:val="en-US"/>
        </w:rPr>
      </w:pPr>
      <w:r w:rsidRPr="00210160">
        <w:rPr>
          <w:noProof w:val="0"/>
          <w:lang w:val="en-US"/>
        </w:rPr>
        <w:t>Informing potential enhancements to IM or other CCP risk models</w:t>
      </w:r>
    </w:p>
    <w:p w14:paraId="56465432" w14:textId="06573DFC" w:rsidR="00644556" w:rsidRPr="00210160" w:rsidRDefault="00644556" w:rsidP="00644556">
      <w:pPr>
        <w:pStyle w:val="Bullets"/>
        <w:rPr>
          <w:noProof w:val="0"/>
          <w:lang w:val="en-US"/>
        </w:rPr>
      </w:pPr>
      <w:r w:rsidRPr="00210160">
        <w:rPr>
          <w:noProof w:val="0"/>
          <w:lang w:val="en-US"/>
        </w:rPr>
        <w:t>Informing CCP senior management on wider risks (primarily narrative stress test scenarios)</w:t>
      </w:r>
    </w:p>
    <w:p w14:paraId="6318EC69" w14:textId="77777777" w:rsidR="00644556" w:rsidRPr="00210160" w:rsidRDefault="00644556" w:rsidP="007B040A">
      <w:pPr>
        <w:pStyle w:val="Heading2"/>
        <w:numPr>
          <w:ilvl w:val="1"/>
          <w:numId w:val="26"/>
        </w:numPr>
        <w:ind w:right="-8"/>
      </w:pPr>
      <w:bookmarkStart w:id="235" w:name="_Toc40786605"/>
      <w:bookmarkStart w:id="236" w:name="_Toc233032393"/>
      <w:r w:rsidRPr="00210160">
        <w:t>Model output and reports</w:t>
      </w:r>
      <w:bookmarkEnd w:id="235"/>
      <w:bookmarkEnd w:id="236"/>
    </w:p>
    <w:p w14:paraId="4E3267B6" w14:textId="77777777" w:rsidR="00644556" w:rsidRPr="00210160" w:rsidRDefault="00644556" w:rsidP="00644556">
      <w:pPr>
        <w:pStyle w:val="Bullets"/>
        <w:rPr>
          <w:noProof w:val="0"/>
          <w:lang w:val="en-US"/>
        </w:rPr>
      </w:pPr>
      <w:r w:rsidRPr="00210160">
        <w:rPr>
          <w:noProof w:val="0"/>
          <w:lang w:val="en-US"/>
        </w:rPr>
        <w:t>Regular stress testing report provided to internal and external risk committees</w:t>
      </w:r>
    </w:p>
    <w:p w14:paraId="7EC19CB6" w14:textId="77777777" w:rsidR="00644556" w:rsidRPr="00210160" w:rsidRDefault="00644556" w:rsidP="00644556">
      <w:pPr>
        <w:pStyle w:val="Bullets"/>
        <w:rPr>
          <w:noProof w:val="0"/>
          <w:lang w:val="en-US"/>
        </w:rPr>
      </w:pPr>
      <w:r w:rsidRPr="00210160">
        <w:rPr>
          <w:noProof w:val="0"/>
          <w:lang w:val="en-US"/>
        </w:rPr>
        <w:t xml:space="preserve">Worst individual </w:t>
      </w:r>
      <w:proofErr w:type="spellStart"/>
      <w:r w:rsidRPr="00210160">
        <w:rPr>
          <w:noProof w:val="0"/>
          <w:lang w:val="en-US"/>
        </w:rPr>
        <w:t>CCaR</w:t>
      </w:r>
      <w:proofErr w:type="spellEnd"/>
      <w:r w:rsidRPr="00210160">
        <w:rPr>
          <w:noProof w:val="0"/>
          <w:lang w:val="en-US"/>
        </w:rPr>
        <w:t xml:space="preserve"> per clearing member</w:t>
      </w:r>
    </w:p>
    <w:p w14:paraId="64A5EC06" w14:textId="77777777" w:rsidR="00644556" w:rsidRPr="00210160" w:rsidRDefault="00644556" w:rsidP="00644556">
      <w:pPr>
        <w:pStyle w:val="Bullets"/>
        <w:rPr>
          <w:noProof w:val="0"/>
          <w:lang w:val="en-US"/>
        </w:rPr>
      </w:pPr>
      <w:proofErr w:type="spellStart"/>
      <w:r w:rsidRPr="00210160">
        <w:rPr>
          <w:noProof w:val="0"/>
          <w:lang w:val="en-US"/>
        </w:rPr>
        <w:t>CCaR</w:t>
      </w:r>
      <w:proofErr w:type="spellEnd"/>
      <w:r w:rsidRPr="00210160">
        <w:rPr>
          <w:noProof w:val="0"/>
          <w:lang w:val="en-US"/>
        </w:rPr>
        <w:t xml:space="preserve"> per clearing member and scenario</w:t>
      </w:r>
    </w:p>
    <w:p w14:paraId="4C5C9066" w14:textId="088A61E1" w:rsidR="00644556" w:rsidRPr="000723BD" w:rsidRDefault="00644556" w:rsidP="00644556">
      <w:pPr>
        <w:pStyle w:val="Bullets"/>
        <w:rPr>
          <w:noProof w:val="0"/>
          <w:lang w:val="en-US"/>
        </w:rPr>
      </w:pPr>
      <w:r w:rsidRPr="000723BD">
        <w:rPr>
          <w:noProof w:val="0"/>
          <w:lang w:val="en-US"/>
        </w:rPr>
        <w:t xml:space="preserve">Cover-1 and </w:t>
      </w:r>
      <w:r w:rsidR="006666D2" w:rsidRPr="000723BD">
        <w:rPr>
          <w:noProof w:val="0"/>
          <w:lang w:val="en-US"/>
        </w:rPr>
        <w:t>C</w:t>
      </w:r>
      <w:r w:rsidRPr="000723BD">
        <w:rPr>
          <w:noProof w:val="0"/>
          <w:lang w:val="en-US"/>
        </w:rPr>
        <w:t>over-2 figures per clearing service</w:t>
      </w:r>
    </w:p>
    <w:p w14:paraId="161C7A51" w14:textId="0ECE3584" w:rsidR="00644556" w:rsidRPr="000723BD" w:rsidRDefault="00644556" w:rsidP="00644556">
      <w:pPr>
        <w:pStyle w:val="Bullets"/>
        <w:rPr>
          <w:noProof w:val="0"/>
          <w:lang w:val="en-US"/>
        </w:rPr>
      </w:pPr>
      <w:r w:rsidRPr="000723BD">
        <w:rPr>
          <w:noProof w:val="0"/>
          <w:lang w:val="en-US"/>
        </w:rPr>
        <w:t xml:space="preserve">“Model </w:t>
      </w:r>
      <w:r w:rsidR="00FC6FB2">
        <w:rPr>
          <w:noProof w:val="0"/>
          <w:lang w:val="en-US"/>
        </w:rPr>
        <w:t>sensitivity</w:t>
      </w:r>
      <w:r w:rsidRPr="000723BD">
        <w:rPr>
          <w:noProof w:val="0"/>
          <w:lang w:val="en-US"/>
        </w:rPr>
        <w:t xml:space="preserve"> testing”</w:t>
      </w:r>
      <w:r w:rsidR="00FC6FB2">
        <w:rPr>
          <w:noProof w:val="0"/>
          <w:lang w:val="en-US"/>
        </w:rPr>
        <w:t xml:space="preserve"> and reverse stress testing</w:t>
      </w:r>
      <w:r w:rsidRPr="000723BD">
        <w:rPr>
          <w:noProof w:val="0"/>
          <w:lang w:val="en-US"/>
        </w:rPr>
        <w:t xml:space="preserve"> results – e.g. impact of multiple defaults, increased stress parameters, further correlation breakdowns</w:t>
      </w:r>
    </w:p>
    <w:p w14:paraId="5DB36630" w14:textId="77777777" w:rsidR="00644556" w:rsidRPr="00210160" w:rsidRDefault="00644556" w:rsidP="007B040A">
      <w:pPr>
        <w:pStyle w:val="Heading2"/>
        <w:numPr>
          <w:ilvl w:val="1"/>
          <w:numId w:val="26"/>
        </w:numPr>
        <w:ind w:right="-8"/>
      </w:pPr>
      <w:bookmarkStart w:id="237" w:name="_Toc3904192"/>
      <w:bookmarkStart w:id="238" w:name="_Toc174352489"/>
      <w:bookmarkStart w:id="239" w:name="_Toc174352490"/>
      <w:bookmarkStart w:id="240" w:name="_Toc174352491"/>
      <w:bookmarkStart w:id="241" w:name="_Toc174352492"/>
      <w:bookmarkStart w:id="242" w:name="_Toc174352493"/>
      <w:bookmarkStart w:id="243" w:name="_Toc174352494"/>
      <w:bookmarkStart w:id="244" w:name="_Toc174352495"/>
      <w:bookmarkStart w:id="245" w:name="_Toc174352496"/>
      <w:bookmarkStart w:id="246" w:name="_Toc174352497"/>
      <w:bookmarkStart w:id="247" w:name="_Toc3821949"/>
      <w:bookmarkStart w:id="248" w:name="_Toc3822118"/>
      <w:bookmarkStart w:id="249" w:name="_Toc3822358"/>
      <w:bookmarkStart w:id="250" w:name="_Toc3822455"/>
      <w:bookmarkStart w:id="251" w:name="_Toc38438933"/>
      <w:bookmarkStart w:id="252" w:name="_Toc233032394"/>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210160">
        <w:t>Re-calibration</w:t>
      </w:r>
      <w:bookmarkEnd w:id="251"/>
      <w:bookmarkEnd w:id="252"/>
    </w:p>
    <w:p w14:paraId="466433A7" w14:textId="12DD7FB6" w:rsidR="00644556" w:rsidRPr="00210160" w:rsidRDefault="00644556" w:rsidP="00644556">
      <w:r w:rsidRPr="00210160">
        <w:t xml:space="preserve">The </w:t>
      </w:r>
      <w:proofErr w:type="spellStart"/>
      <w:r w:rsidRPr="00210160">
        <w:t>CCaR</w:t>
      </w:r>
      <w:proofErr w:type="spellEnd"/>
      <w:r w:rsidRPr="00210160">
        <w:t xml:space="preserve"> </w:t>
      </w:r>
      <w:r w:rsidR="00FC6FB2">
        <w:t>p</w:t>
      </w:r>
      <w:r w:rsidRPr="00210160">
        <w:t>arameters, i.e. the single risk factor shocks deployed, for all clearing services are re-calibrated as part of the regular monthly parameter reviews. All new available data since the last month’s update is considered, the parameters are re-</w:t>
      </w:r>
      <w:proofErr w:type="gramStart"/>
      <w:r w:rsidRPr="00210160">
        <w:t>estimated, and</w:t>
      </w:r>
      <w:proofErr w:type="gramEnd"/>
      <w:r w:rsidRPr="00210160">
        <w:t xml:space="preserve"> then implemented in </w:t>
      </w:r>
      <w:proofErr w:type="spellStart"/>
      <w:r w:rsidRPr="00210160">
        <w:t>Genium</w:t>
      </w:r>
      <w:proofErr w:type="spellEnd"/>
      <w:r w:rsidRPr="00210160">
        <w:t xml:space="preserve"> INET.</w:t>
      </w:r>
    </w:p>
    <w:p w14:paraId="0D1E5CF2" w14:textId="735E75D7" w:rsidR="00644556" w:rsidRPr="00210160" w:rsidRDefault="00644556" w:rsidP="00644556">
      <w:r w:rsidRPr="00210160">
        <w:lastRenderedPageBreak/>
        <w:t xml:space="preserve">At least yearly model reviews are performed to review and update all other model parameters (e.g. product area allocations) as well as to identify if there are any new historical or narrative scenarios to be added to the stress testing. </w:t>
      </w:r>
      <w:r w:rsidR="003C2072" w:rsidRPr="00210160">
        <w:t>Product areas are also monitored with regards to the share of IM of constituents compared to the whole. If a product area has a significant change in composition, an extraordinary review of the product area composition is launched.</w:t>
      </w:r>
    </w:p>
    <w:p w14:paraId="46030DF2" w14:textId="28EC8388" w:rsidR="00ED505A" w:rsidRPr="00467971" w:rsidRDefault="00644556" w:rsidP="00724E2D">
      <w:pPr>
        <w:rPr>
          <w:lang w:val="en-AU"/>
        </w:rPr>
      </w:pPr>
      <w:r w:rsidRPr="00210160">
        <w:t xml:space="preserve">Moreover, if market news or daily monitoring (such as </w:t>
      </w:r>
      <w:proofErr w:type="spellStart"/>
      <w:r w:rsidRPr="00210160">
        <w:t>backtesting</w:t>
      </w:r>
      <w:proofErr w:type="spellEnd"/>
      <w:r w:rsidRPr="00210160">
        <w:t xml:space="preserve">) indicates a need to update the parameters more often, extra-ordinary updates are carried out. Such updates can be deployed within a few hours if </w:t>
      </w:r>
      <w:r w:rsidR="00381E48" w:rsidRPr="00210160">
        <w:t>necessary and</w:t>
      </w:r>
      <w:r w:rsidRPr="00210160">
        <w:t xml:space="preserve"> are typically done during times of market turmoil.</w:t>
      </w:r>
      <w:bookmarkStart w:id="253" w:name="_Toc3972081"/>
      <w:bookmarkStart w:id="254" w:name="_Toc3972083"/>
      <w:bookmarkEnd w:id="229"/>
      <w:bookmarkEnd w:id="253"/>
      <w:bookmarkEnd w:id="254"/>
    </w:p>
    <w:sectPr w:rsidR="00ED505A" w:rsidRPr="00467971" w:rsidSect="00B752F6">
      <w:footerReference w:type="even" r:id="rId15"/>
      <w:footerReference w:type="defaul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0B4C" w14:textId="77777777" w:rsidR="00CB2DDA" w:rsidRDefault="00CB2DDA" w:rsidP="00A27322">
      <w:pPr>
        <w:spacing w:before="0" w:after="0" w:line="240" w:lineRule="auto"/>
      </w:pPr>
      <w:r>
        <w:separator/>
      </w:r>
    </w:p>
  </w:endnote>
  <w:endnote w:type="continuationSeparator" w:id="0">
    <w:p w14:paraId="42E6A8A7" w14:textId="77777777" w:rsidR="00CB2DDA" w:rsidRDefault="00CB2DDA" w:rsidP="00A273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2AB5" w14:textId="41679C13" w:rsidR="00FB3DA9" w:rsidRDefault="00C848F7">
    <w:pPr>
      <w:pStyle w:val="Footer"/>
    </w:pPr>
    <w:r>
      <mc:AlternateContent>
        <mc:Choice Requires="wps">
          <w:drawing>
            <wp:anchor distT="0" distB="0" distL="0" distR="0" simplePos="0" relativeHeight="251664384" behindDoc="0" locked="0" layoutInCell="1" allowOverlap="1" wp14:anchorId="3EDB6F73" wp14:editId="2A946794">
              <wp:simplePos x="635" y="635"/>
              <wp:positionH relativeFrom="page">
                <wp:align>center</wp:align>
              </wp:positionH>
              <wp:positionV relativeFrom="page">
                <wp:align>bottom</wp:align>
              </wp:positionV>
              <wp:extent cx="443865" cy="443865"/>
              <wp:effectExtent l="0" t="0" r="2540" b="0"/>
              <wp:wrapNone/>
              <wp:docPr id="699639876" name="Text Box 5"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E6288" w14:textId="0166CC1C" w:rsidR="00C848F7" w:rsidRPr="00C848F7" w:rsidRDefault="00C848F7" w:rsidP="00C848F7">
                          <w:pPr>
                            <w:spacing w:after="0"/>
                            <w:rPr>
                              <w:rFonts w:eastAsia="Calibri" w:cs="Calibri"/>
                              <w:noProof/>
                              <w:color w:val="000000"/>
                              <w:sz w:val="24"/>
                              <w:szCs w:val="24"/>
                            </w:rPr>
                          </w:pPr>
                          <w:r w:rsidRPr="00C848F7">
                            <w:rPr>
                              <w:rFonts w:eastAsia="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B6F73" id="_x0000_t202" coordsize="21600,21600" o:spt="202" path="m,l,21600r21600,l21600,xe">
              <v:stroke joinstyle="miter"/>
              <v:path gradientshapeok="t" o:connecttype="rect"/>
            </v:shapetype>
            <v:shape id="Text Box 5" o:spid="_x0000_s1026" type="#_x0000_t202" alt="Nasdaq - Internal Use: Distribution limited to Nasdaq personnel and authorized third parties subject to confidentiality obligations"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8E6288" w14:textId="0166CC1C" w:rsidR="00C848F7" w:rsidRPr="00C848F7" w:rsidRDefault="00C848F7" w:rsidP="00C848F7">
                    <w:pPr>
                      <w:spacing w:after="0"/>
                      <w:rPr>
                        <w:rFonts w:eastAsia="Calibri" w:cs="Calibri"/>
                        <w:noProof/>
                        <w:color w:val="000000"/>
                        <w:sz w:val="24"/>
                        <w:szCs w:val="24"/>
                      </w:rPr>
                    </w:pPr>
                    <w:r w:rsidRPr="00C848F7">
                      <w:rPr>
                        <w:rFonts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E4A8" w14:textId="00638266" w:rsidR="00FB3DA9" w:rsidRDefault="00C848F7">
    <w:pPr>
      <w:pStyle w:val="Footer"/>
    </w:pPr>
    <w:r>
      <mc:AlternateContent>
        <mc:Choice Requires="wps">
          <w:drawing>
            <wp:anchor distT="0" distB="0" distL="0" distR="0" simplePos="0" relativeHeight="251665408" behindDoc="0" locked="0" layoutInCell="1" allowOverlap="1" wp14:anchorId="048E4213" wp14:editId="54D7236F">
              <wp:simplePos x="635" y="635"/>
              <wp:positionH relativeFrom="page">
                <wp:align>center</wp:align>
              </wp:positionH>
              <wp:positionV relativeFrom="page">
                <wp:align>bottom</wp:align>
              </wp:positionV>
              <wp:extent cx="443865" cy="443865"/>
              <wp:effectExtent l="0" t="0" r="2540" b="0"/>
              <wp:wrapNone/>
              <wp:docPr id="1024676527" name="Text Box 6"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628B5" w14:textId="5BAFEC62" w:rsidR="00C848F7" w:rsidRPr="00C848F7" w:rsidRDefault="00C848F7" w:rsidP="00C848F7">
                          <w:pPr>
                            <w:spacing w:after="0"/>
                            <w:rPr>
                              <w:rFonts w:eastAsia="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E4213" id="_x0000_t202" coordsize="21600,21600" o:spt="202" path="m,l,21600r21600,l21600,xe">
              <v:stroke joinstyle="miter"/>
              <v:path gradientshapeok="t" o:connecttype="rect"/>
            </v:shapetype>
            <v:shape id="Text Box 6" o:spid="_x0000_s1027" type="#_x0000_t202" alt="Nasdaq - Internal Use: Distribution limited to Nasdaq personnel and authorized third parties subject to confidentiality obligations"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7B628B5" w14:textId="5BAFEC62" w:rsidR="00C848F7" w:rsidRPr="00C848F7" w:rsidRDefault="00C848F7" w:rsidP="00C848F7">
                    <w:pPr>
                      <w:spacing w:after="0"/>
                      <w:rPr>
                        <w:rFonts w:eastAsia="Calibri" w:cs="Calibri"/>
                        <w:noProof/>
                        <w:color w:val="0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4963" w14:textId="5B0DE10C" w:rsidR="00FB3DA9" w:rsidRDefault="00C848F7">
    <w:pPr>
      <w:pStyle w:val="Footer"/>
    </w:pPr>
    <w:r>
      <mc:AlternateContent>
        <mc:Choice Requires="wps">
          <w:drawing>
            <wp:anchor distT="0" distB="0" distL="0" distR="0" simplePos="0" relativeHeight="251663360" behindDoc="0" locked="0" layoutInCell="1" allowOverlap="1" wp14:anchorId="3E7F7B07" wp14:editId="7A8822C0">
              <wp:simplePos x="635" y="635"/>
              <wp:positionH relativeFrom="page">
                <wp:align>center</wp:align>
              </wp:positionH>
              <wp:positionV relativeFrom="page">
                <wp:align>bottom</wp:align>
              </wp:positionV>
              <wp:extent cx="443865" cy="443865"/>
              <wp:effectExtent l="0" t="0" r="2540" b="0"/>
              <wp:wrapNone/>
              <wp:docPr id="559894993" name="Text Box 4"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EA413" w14:textId="6AE957D3" w:rsidR="00C848F7" w:rsidRPr="00C848F7" w:rsidRDefault="00C848F7" w:rsidP="00C848F7">
                          <w:pPr>
                            <w:spacing w:after="0"/>
                            <w:rPr>
                              <w:rFonts w:eastAsia="Calibri" w:cs="Calibri"/>
                              <w:noProof/>
                              <w:color w:val="000000"/>
                              <w:sz w:val="24"/>
                              <w:szCs w:val="24"/>
                            </w:rPr>
                          </w:pPr>
                          <w:r w:rsidRPr="00C848F7">
                            <w:rPr>
                              <w:rFonts w:eastAsia="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F7B07" id="_x0000_t202" coordsize="21600,21600" o:spt="202" path="m,l,21600r21600,l21600,xe">
              <v:stroke joinstyle="miter"/>
              <v:path gradientshapeok="t" o:connecttype="rect"/>
            </v:shapetype>
            <v:shape id="Text Box 4" o:spid="_x0000_s1028" type="#_x0000_t202" alt="Nasdaq - Internal Use: Distribution limited to Nasdaq personnel and authorized third parties subject to confidentiality obligations"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FEA413" w14:textId="6AE957D3" w:rsidR="00C848F7" w:rsidRPr="00C848F7" w:rsidRDefault="00C848F7" w:rsidP="00C848F7">
                    <w:pPr>
                      <w:spacing w:after="0"/>
                      <w:rPr>
                        <w:rFonts w:eastAsia="Calibri" w:cs="Calibri"/>
                        <w:noProof/>
                        <w:color w:val="000000"/>
                        <w:sz w:val="24"/>
                        <w:szCs w:val="24"/>
                      </w:rPr>
                    </w:pPr>
                    <w:r w:rsidRPr="00C848F7">
                      <w:rPr>
                        <w:rFonts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57BE" w14:textId="77777777" w:rsidR="00CB2DDA" w:rsidRDefault="00CB2DDA" w:rsidP="00A27322">
      <w:pPr>
        <w:spacing w:before="0" w:after="0" w:line="240" w:lineRule="auto"/>
      </w:pPr>
      <w:r>
        <w:separator/>
      </w:r>
    </w:p>
  </w:footnote>
  <w:footnote w:type="continuationSeparator" w:id="0">
    <w:p w14:paraId="25E6460F" w14:textId="77777777" w:rsidR="00CB2DDA" w:rsidRDefault="00CB2DDA" w:rsidP="00A27322">
      <w:pPr>
        <w:spacing w:before="0" w:after="0" w:line="240" w:lineRule="auto"/>
      </w:pPr>
      <w:r>
        <w:continuationSeparator/>
      </w:r>
    </w:p>
  </w:footnote>
  <w:footnote w:id="1">
    <w:p w14:paraId="6BA5CB8F" w14:textId="27D125AA" w:rsidR="005D2083" w:rsidRPr="00EF23FC" w:rsidRDefault="005D2083">
      <w:pPr>
        <w:pStyle w:val="FootnoteText"/>
      </w:pPr>
      <w:r w:rsidRPr="006F0B2A">
        <w:rPr>
          <w:rStyle w:val="FootnoteReference"/>
        </w:rPr>
        <w:footnoteRef/>
      </w:r>
      <w:r w:rsidRPr="00EF23FC">
        <w:t xml:space="preserve"> </w:t>
      </w:r>
      <w:r w:rsidRPr="00CA4030">
        <w:t xml:space="preserve">Note that an additional event constituting the 1987 stock market crash, but with OMXS30 stress increased to 15% is tested based on a request from the SFSA </w:t>
      </w:r>
    </w:p>
  </w:footnote>
  <w:footnote w:id="2">
    <w:p w14:paraId="290C60BE" w14:textId="77777777" w:rsidR="00C03D6E" w:rsidRPr="00434F30" w:rsidRDefault="00C03D6E" w:rsidP="00190D21">
      <w:pPr>
        <w:pStyle w:val="FootnoteText"/>
      </w:pPr>
      <w:r>
        <w:rPr>
          <w:rStyle w:val="FootnoteReference"/>
        </w:rPr>
        <w:footnoteRef/>
      </w:r>
      <w:r>
        <w:t xml:space="preserve"> Note that the</w:t>
      </w:r>
      <w:r w:rsidRPr="00796FA7">
        <w:t xml:space="preserve"> exact date </w:t>
      </w:r>
      <w:r>
        <w:t xml:space="preserve">representing one historical event </w:t>
      </w:r>
      <w:r w:rsidRPr="00796FA7">
        <w:t>could</w:t>
      </w:r>
      <w:r>
        <w:t xml:space="preserve"> slightly</w:t>
      </w:r>
      <w:r w:rsidRPr="00796FA7">
        <w:t xml:space="preserve"> differ</w:t>
      </w:r>
      <w:r>
        <w:t xml:space="preserve"> between risk factors, as described in section 5.2.2,</w:t>
      </w:r>
      <w:r w:rsidRPr="00796FA7">
        <w:t xml:space="preserve"> which </w:t>
      </w:r>
      <w:r>
        <w:t xml:space="preserve">although </w:t>
      </w:r>
      <w:r w:rsidRPr="00796FA7">
        <w:t>is more conservative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FC"/>
    <w:multiLevelType w:val="hybridMultilevel"/>
    <w:tmpl w:val="9C26F342"/>
    <w:lvl w:ilvl="0" w:tplc="08090001">
      <w:start w:val="3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2852"/>
    <w:multiLevelType w:val="hybridMultilevel"/>
    <w:tmpl w:val="2692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7778"/>
    <w:multiLevelType w:val="multilevel"/>
    <w:tmpl w:val="3A1C9612"/>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3" w15:restartNumberingAfterBreak="0">
    <w:nsid w:val="0A2C7490"/>
    <w:multiLevelType w:val="multilevel"/>
    <w:tmpl w:val="BE787600"/>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 w15:restartNumberingAfterBreak="0">
    <w:nsid w:val="0B4209D1"/>
    <w:multiLevelType w:val="hybridMultilevel"/>
    <w:tmpl w:val="A6F45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77669"/>
    <w:multiLevelType w:val="hybridMultilevel"/>
    <w:tmpl w:val="C17EB6D2"/>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F7B39"/>
    <w:multiLevelType w:val="multilevel"/>
    <w:tmpl w:val="B4606160"/>
    <w:lvl w:ilvl="0">
      <w:start w:val="1"/>
      <w:numFmt w:val="decimal"/>
      <w:pStyle w:val="Heading1"/>
      <w:lvlText w:val="%1"/>
      <w:lvlJc w:val="left"/>
      <w:pPr>
        <w:tabs>
          <w:tab w:val="num" w:pos="0"/>
        </w:tabs>
        <w:ind w:left="0"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0"/>
        </w:tabs>
        <w:ind w:left="0" w:hanging="1134"/>
      </w:pPr>
      <w:rPr>
        <w:rFonts w:hint="default"/>
      </w:rPr>
    </w:lvl>
    <w:lvl w:ilvl="4">
      <w:start w:val="1"/>
      <w:numFmt w:val="decimal"/>
      <w:lvlText w:val="%1.%2.%3.%4.%5"/>
      <w:lvlJc w:val="left"/>
      <w:pPr>
        <w:tabs>
          <w:tab w:val="num" w:pos="0"/>
        </w:tabs>
        <w:ind w:left="0" w:hanging="1134"/>
      </w:pPr>
      <w:rPr>
        <w:rFonts w:hint="default"/>
      </w:rPr>
    </w:lvl>
    <w:lvl w:ilvl="5">
      <w:start w:val="1"/>
      <w:numFmt w:val="decimal"/>
      <w:lvlText w:val="%1.%2.%3.%4.%5.%6"/>
      <w:lvlJc w:val="left"/>
      <w:pPr>
        <w:tabs>
          <w:tab w:val="num" w:pos="0"/>
        </w:tabs>
        <w:ind w:left="0" w:hanging="1134"/>
      </w:pPr>
      <w:rPr>
        <w:rFonts w:hint="default"/>
      </w:rPr>
    </w:lvl>
    <w:lvl w:ilvl="6">
      <w:start w:val="1"/>
      <w:numFmt w:val="decimal"/>
      <w:lvlText w:val="%1.%2.%3.%4.%5.%6.%7"/>
      <w:lvlJc w:val="left"/>
      <w:pPr>
        <w:tabs>
          <w:tab w:val="num" w:pos="0"/>
        </w:tabs>
        <w:ind w:left="0" w:hanging="1134"/>
      </w:pPr>
      <w:rPr>
        <w:rFonts w:hint="default"/>
      </w:rPr>
    </w:lvl>
    <w:lvl w:ilvl="7">
      <w:start w:val="1"/>
      <w:numFmt w:val="decimal"/>
      <w:lvlText w:val="%1.%2.%3.%4.%5.%6.%7.%8"/>
      <w:lvlJc w:val="left"/>
      <w:pPr>
        <w:tabs>
          <w:tab w:val="num" w:pos="0"/>
        </w:tabs>
        <w:ind w:left="0" w:hanging="1134"/>
      </w:pPr>
      <w:rPr>
        <w:rFonts w:hint="default"/>
      </w:rPr>
    </w:lvl>
    <w:lvl w:ilvl="8">
      <w:start w:val="1"/>
      <w:numFmt w:val="decimal"/>
      <w:lvlText w:val="%1.%2.%3.%4.%5.%6.%7.%8.%9"/>
      <w:lvlJc w:val="left"/>
      <w:pPr>
        <w:tabs>
          <w:tab w:val="num" w:pos="0"/>
        </w:tabs>
        <w:ind w:left="0" w:hanging="1134"/>
      </w:pPr>
      <w:rPr>
        <w:rFonts w:hint="default"/>
      </w:rPr>
    </w:lvl>
  </w:abstractNum>
  <w:abstractNum w:abstractNumId="7" w15:restartNumberingAfterBreak="0">
    <w:nsid w:val="1D4528A2"/>
    <w:multiLevelType w:val="hybridMultilevel"/>
    <w:tmpl w:val="4956D3E6"/>
    <w:lvl w:ilvl="0" w:tplc="94364088">
      <w:start w:val="1"/>
      <w:numFmt w:val="decimal"/>
      <w:pStyle w:val="Appendix1"/>
      <w:lvlText w:val="Appendix %1:"/>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39344C"/>
    <w:multiLevelType w:val="hybridMultilevel"/>
    <w:tmpl w:val="D09CAC16"/>
    <w:lvl w:ilvl="0" w:tplc="B6346A7E">
      <w:start w:val="1"/>
      <w:numFmt w:val="decimal"/>
      <w:lvlText w:val="Appendix %1:"/>
      <w:lvlJc w:val="left"/>
      <w:pPr>
        <w:ind w:left="72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5DC6"/>
    <w:multiLevelType w:val="hybridMultilevel"/>
    <w:tmpl w:val="5870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B2D9F"/>
    <w:multiLevelType w:val="hybridMultilevel"/>
    <w:tmpl w:val="81DAE6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291846"/>
    <w:multiLevelType w:val="hybridMultilevel"/>
    <w:tmpl w:val="C9626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B316D2"/>
    <w:multiLevelType w:val="hybridMultilevel"/>
    <w:tmpl w:val="2EACF6D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8CE7AA6"/>
    <w:multiLevelType w:val="hybridMultilevel"/>
    <w:tmpl w:val="16C8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E76B5"/>
    <w:multiLevelType w:val="hybridMultilevel"/>
    <w:tmpl w:val="A7BAF5E2"/>
    <w:lvl w:ilvl="0" w:tplc="627001FC">
      <w:start w:val="1"/>
      <w:numFmt w:val="upperLetter"/>
      <w:pStyle w:val="Heading4"/>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4581E9B"/>
    <w:multiLevelType w:val="hybridMultilevel"/>
    <w:tmpl w:val="92425666"/>
    <w:lvl w:ilvl="0" w:tplc="17C8D1BC">
      <w:start w:val="1"/>
      <w:numFmt w:val="bullet"/>
      <w:pStyle w:val="Bullets"/>
      <w:lvlText w:val=""/>
      <w:lvlJc w:val="left"/>
      <w:pPr>
        <w:ind w:left="720" w:hanging="360"/>
      </w:pPr>
      <w:rPr>
        <w:rFonts w:ascii="Symbol" w:hAnsi="Symbol" w:hint="default"/>
        <w:color w:val="009FC3"/>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FE08ED"/>
    <w:multiLevelType w:val="multilevel"/>
    <w:tmpl w:val="4E56B154"/>
    <w:styleLink w:val="AppendicesList"/>
    <w:lvl w:ilvl="0">
      <w:start w:val="1"/>
      <w:numFmt w:val="upperLetter"/>
      <w:lvlText w:val=" Appendix %1."/>
      <w:lvlJc w:val="left"/>
      <w:pPr>
        <w:ind w:left="2304" w:hanging="2304"/>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7" w15:restartNumberingAfterBreak="0">
    <w:nsid w:val="48D60BF5"/>
    <w:multiLevelType w:val="multilevel"/>
    <w:tmpl w:val="08DC568A"/>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8" w15:restartNumberingAfterBreak="0">
    <w:nsid w:val="49823CDD"/>
    <w:multiLevelType w:val="hybridMultilevel"/>
    <w:tmpl w:val="3134E2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A543080"/>
    <w:multiLevelType w:val="hybridMultilevel"/>
    <w:tmpl w:val="B3E6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13FF3"/>
    <w:multiLevelType w:val="hybridMultilevel"/>
    <w:tmpl w:val="AEFA3D88"/>
    <w:lvl w:ilvl="0" w:tplc="EFD664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3776E"/>
    <w:multiLevelType w:val="hybridMultilevel"/>
    <w:tmpl w:val="1272E6D2"/>
    <w:lvl w:ilvl="0" w:tplc="C1DEE0FE">
      <w:numFmt w:val="bullet"/>
      <w:lvlText w:val=""/>
      <w:lvlJc w:val="left"/>
      <w:pPr>
        <w:ind w:left="720" w:hanging="360"/>
      </w:pPr>
      <w:rPr>
        <w:rFonts w:ascii="Wingdings" w:eastAsiaTheme="minorEastAsia"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775D9"/>
    <w:multiLevelType w:val="multilevel"/>
    <w:tmpl w:val="B1FA6E6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3" w15:restartNumberingAfterBreak="0">
    <w:nsid w:val="50771B56"/>
    <w:multiLevelType w:val="multilevel"/>
    <w:tmpl w:val="B0C0387C"/>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lvlText w:val="-"/>
      <w:lvlJc w:val="left"/>
      <w:pPr>
        <w:ind w:left="1296" w:hanging="216"/>
      </w:pPr>
      <w:rPr>
        <w:rFonts w:ascii="Arial" w:hAnsi="Arial" w:cs="Times New Roman" w:hint="default"/>
      </w:rPr>
    </w:lvl>
    <w:lvl w:ilvl="6">
      <w:start w:val="1"/>
      <w:numFmt w:val="bullet"/>
      <w:lvlText w:val="-"/>
      <w:lvlJc w:val="left"/>
      <w:pPr>
        <w:ind w:left="1512" w:hanging="216"/>
      </w:pPr>
      <w:rPr>
        <w:rFonts w:ascii="Arial" w:hAnsi="Arial" w:cs="Times New Roman" w:hint="default"/>
      </w:rPr>
    </w:lvl>
    <w:lvl w:ilvl="7">
      <w:start w:val="1"/>
      <w:numFmt w:val="bullet"/>
      <w:lvlText w:val="-"/>
      <w:lvlJc w:val="left"/>
      <w:pPr>
        <w:ind w:left="1728" w:hanging="216"/>
      </w:pPr>
      <w:rPr>
        <w:rFonts w:ascii="Arial" w:hAnsi="Arial" w:cs="Times New Roman" w:hint="default"/>
      </w:rPr>
    </w:lvl>
    <w:lvl w:ilvl="8">
      <w:start w:val="1"/>
      <w:numFmt w:val="bullet"/>
      <w:lvlText w:val="-"/>
      <w:lvlJc w:val="left"/>
      <w:pPr>
        <w:ind w:left="1944" w:hanging="216"/>
      </w:pPr>
      <w:rPr>
        <w:rFonts w:ascii="Arial" w:hAnsi="Arial" w:cs="Times New Roman" w:hint="default"/>
      </w:rPr>
    </w:lvl>
  </w:abstractNum>
  <w:abstractNum w:abstractNumId="24" w15:restartNumberingAfterBreak="0">
    <w:nsid w:val="52EE2E2D"/>
    <w:multiLevelType w:val="hybridMultilevel"/>
    <w:tmpl w:val="0FFCAB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D943E31"/>
    <w:multiLevelType w:val="hybridMultilevel"/>
    <w:tmpl w:val="5B4860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70216"/>
    <w:multiLevelType w:val="hybridMultilevel"/>
    <w:tmpl w:val="46D842D0"/>
    <w:lvl w:ilvl="0" w:tplc="AB2E6DF0">
      <w:start w:val="1"/>
      <w:numFmt w:val="bullet"/>
      <w:lvlText w:val="•"/>
      <w:lvlJc w:val="left"/>
      <w:pPr>
        <w:tabs>
          <w:tab w:val="num" w:pos="720"/>
        </w:tabs>
        <w:ind w:left="720" w:hanging="360"/>
      </w:pPr>
      <w:rPr>
        <w:rFonts w:ascii="Arial" w:hAnsi="Arial" w:hint="default"/>
      </w:rPr>
    </w:lvl>
    <w:lvl w:ilvl="1" w:tplc="F6FEFE9E">
      <w:numFmt w:val="bullet"/>
      <w:lvlText w:val="–"/>
      <w:lvlJc w:val="left"/>
      <w:pPr>
        <w:tabs>
          <w:tab w:val="num" w:pos="1440"/>
        </w:tabs>
        <w:ind w:left="1440" w:hanging="360"/>
      </w:pPr>
      <w:rPr>
        <w:rFonts w:ascii="Arial" w:hAnsi="Arial" w:hint="default"/>
      </w:rPr>
    </w:lvl>
    <w:lvl w:ilvl="2" w:tplc="B7A4C69A" w:tentative="1">
      <w:start w:val="1"/>
      <w:numFmt w:val="bullet"/>
      <w:lvlText w:val="•"/>
      <w:lvlJc w:val="left"/>
      <w:pPr>
        <w:tabs>
          <w:tab w:val="num" w:pos="2160"/>
        </w:tabs>
        <w:ind w:left="2160" w:hanging="360"/>
      </w:pPr>
      <w:rPr>
        <w:rFonts w:ascii="Arial" w:hAnsi="Arial" w:hint="default"/>
      </w:rPr>
    </w:lvl>
    <w:lvl w:ilvl="3" w:tplc="B90CB6B6" w:tentative="1">
      <w:start w:val="1"/>
      <w:numFmt w:val="bullet"/>
      <w:lvlText w:val="•"/>
      <w:lvlJc w:val="left"/>
      <w:pPr>
        <w:tabs>
          <w:tab w:val="num" w:pos="2880"/>
        </w:tabs>
        <w:ind w:left="2880" w:hanging="360"/>
      </w:pPr>
      <w:rPr>
        <w:rFonts w:ascii="Arial" w:hAnsi="Arial" w:hint="default"/>
      </w:rPr>
    </w:lvl>
    <w:lvl w:ilvl="4" w:tplc="E634201E" w:tentative="1">
      <w:start w:val="1"/>
      <w:numFmt w:val="bullet"/>
      <w:lvlText w:val="•"/>
      <w:lvlJc w:val="left"/>
      <w:pPr>
        <w:tabs>
          <w:tab w:val="num" w:pos="3600"/>
        </w:tabs>
        <w:ind w:left="3600" w:hanging="360"/>
      </w:pPr>
      <w:rPr>
        <w:rFonts w:ascii="Arial" w:hAnsi="Arial" w:hint="default"/>
      </w:rPr>
    </w:lvl>
    <w:lvl w:ilvl="5" w:tplc="9D52BA8A" w:tentative="1">
      <w:start w:val="1"/>
      <w:numFmt w:val="bullet"/>
      <w:lvlText w:val="•"/>
      <w:lvlJc w:val="left"/>
      <w:pPr>
        <w:tabs>
          <w:tab w:val="num" w:pos="4320"/>
        </w:tabs>
        <w:ind w:left="4320" w:hanging="360"/>
      </w:pPr>
      <w:rPr>
        <w:rFonts w:ascii="Arial" w:hAnsi="Arial" w:hint="default"/>
      </w:rPr>
    </w:lvl>
    <w:lvl w:ilvl="6" w:tplc="D2D86150" w:tentative="1">
      <w:start w:val="1"/>
      <w:numFmt w:val="bullet"/>
      <w:lvlText w:val="•"/>
      <w:lvlJc w:val="left"/>
      <w:pPr>
        <w:tabs>
          <w:tab w:val="num" w:pos="5040"/>
        </w:tabs>
        <w:ind w:left="5040" w:hanging="360"/>
      </w:pPr>
      <w:rPr>
        <w:rFonts w:ascii="Arial" w:hAnsi="Arial" w:hint="default"/>
      </w:rPr>
    </w:lvl>
    <w:lvl w:ilvl="7" w:tplc="A7A4E48A" w:tentative="1">
      <w:start w:val="1"/>
      <w:numFmt w:val="bullet"/>
      <w:lvlText w:val="•"/>
      <w:lvlJc w:val="left"/>
      <w:pPr>
        <w:tabs>
          <w:tab w:val="num" w:pos="5760"/>
        </w:tabs>
        <w:ind w:left="5760" w:hanging="360"/>
      </w:pPr>
      <w:rPr>
        <w:rFonts w:ascii="Arial" w:hAnsi="Arial" w:hint="default"/>
      </w:rPr>
    </w:lvl>
    <w:lvl w:ilvl="8" w:tplc="2F6EEB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433A8C"/>
    <w:multiLevelType w:val="multilevel"/>
    <w:tmpl w:val="77DC986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8" w15:restartNumberingAfterBreak="0">
    <w:nsid w:val="63201DE5"/>
    <w:multiLevelType w:val="hybridMultilevel"/>
    <w:tmpl w:val="3AE004EE"/>
    <w:lvl w:ilvl="0" w:tplc="72C0A4F8">
      <w:start w:val="1"/>
      <w:numFmt w:val="bullet"/>
      <w:lvlText w:val="•"/>
      <w:lvlJc w:val="left"/>
      <w:pPr>
        <w:tabs>
          <w:tab w:val="num" w:pos="720"/>
        </w:tabs>
        <w:ind w:left="720" w:hanging="360"/>
      </w:pPr>
      <w:rPr>
        <w:rFonts w:ascii="Arial" w:hAnsi="Arial" w:hint="default"/>
      </w:rPr>
    </w:lvl>
    <w:lvl w:ilvl="1" w:tplc="3CDACA38">
      <w:numFmt w:val="bullet"/>
      <w:lvlText w:val="–"/>
      <w:lvlJc w:val="left"/>
      <w:pPr>
        <w:tabs>
          <w:tab w:val="num" w:pos="1440"/>
        </w:tabs>
        <w:ind w:left="1440" w:hanging="360"/>
      </w:pPr>
      <w:rPr>
        <w:rFonts w:ascii="Arial" w:hAnsi="Arial" w:hint="default"/>
      </w:rPr>
    </w:lvl>
    <w:lvl w:ilvl="2" w:tplc="75B636C6" w:tentative="1">
      <w:start w:val="1"/>
      <w:numFmt w:val="bullet"/>
      <w:lvlText w:val="•"/>
      <w:lvlJc w:val="left"/>
      <w:pPr>
        <w:tabs>
          <w:tab w:val="num" w:pos="2160"/>
        </w:tabs>
        <w:ind w:left="2160" w:hanging="360"/>
      </w:pPr>
      <w:rPr>
        <w:rFonts w:ascii="Arial" w:hAnsi="Arial" w:hint="default"/>
      </w:rPr>
    </w:lvl>
    <w:lvl w:ilvl="3" w:tplc="A9BE8880" w:tentative="1">
      <w:start w:val="1"/>
      <w:numFmt w:val="bullet"/>
      <w:lvlText w:val="•"/>
      <w:lvlJc w:val="left"/>
      <w:pPr>
        <w:tabs>
          <w:tab w:val="num" w:pos="2880"/>
        </w:tabs>
        <w:ind w:left="2880" w:hanging="360"/>
      </w:pPr>
      <w:rPr>
        <w:rFonts w:ascii="Arial" w:hAnsi="Arial" w:hint="default"/>
      </w:rPr>
    </w:lvl>
    <w:lvl w:ilvl="4" w:tplc="0882D9B0" w:tentative="1">
      <w:start w:val="1"/>
      <w:numFmt w:val="bullet"/>
      <w:lvlText w:val="•"/>
      <w:lvlJc w:val="left"/>
      <w:pPr>
        <w:tabs>
          <w:tab w:val="num" w:pos="3600"/>
        </w:tabs>
        <w:ind w:left="3600" w:hanging="360"/>
      </w:pPr>
      <w:rPr>
        <w:rFonts w:ascii="Arial" w:hAnsi="Arial" w:hint="default"/>
      </w:rPr>
    </w:lvl>
    <w:lvl w:ilvl="5" w:tplc="ACDAB434" w:tentative="1">
      <w:start w:val="1"/>
      <w:numFmt w:val="bullet"/>
      <w:lvlText w:val="•"/>
      <w:lvlJc w:val="left"/>
      <w:pPr>
        <w:tabs>
          <w:tab w:val="num" w:pos="4320"/>
        </w:tabs>
        <w:ind w:left="4320" w:hanging="360"/>
      </w:pPr>
      <w:rPr>
        <w:rFonts w:ascii="Arial" w:hAnsi="Arial" w:hint="default"/>
      </w:rPr>
    </w:lvl>
    <w:lvl w:ilvl="6" w:tplc="C4C07B8E" w:tentative="1">
      <w:start w:val="1"/>
      <w:numFmt w:val="bullet"/>
      <w:lvlText w:val="•"/>
      <w:lvlJc w:val="left"/>
      <w:pPr>
        <w:tabs>
          <w:tab w:val="num" w:pos="5040"/>
        </w:tabs>
        <w:ind w:left="5040" w:hanging="360"/>
      </w:pPr>
      <w:rPr>
        <w:rFonts w:ascii="Arial" w:hAnsi="Arial" w:hint="default"/>
      </w:rPr>
    </w:lvl>
    <w:lvl w:ilvl="7" w:tplc="53D4758E" w:tentative="1">
      <w:start w:val="1"/>
      <w:numFmt w:val="bullet"/>
      <w:lvlText w:val="•"/>
      <w:lvlJc w:val="left"/>
      <w:pPr>
        <w:tabs>
          <w:tab w:val="num" w:pos="5760"/>
        </w:tabs>
        <w:ind w:left="5760" w:hanging="360"/>
      </w:pPr>
      <w:rPr>
        <w:rFonts w:ascii="Arial" w:hAnsi="Arial" w:hint="default"/>
      </w:rPr>
    </w:lvl>
    <w:lvl w:ilvl="8" w:tplc="681EAB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A012E0"/>
    <w:multiLevelType w:val="multilevel"/>
    <w:tmpl w:val="7E4A4016"/>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30" w15:restartNumberingAfterBreak="0">
    <w:nsid w:val="69106B54"/>
    <w:multiLevelType w:val="hybridMultilevel"/>
    <w:tmpl w:val="23BAF082"/>
    <w:lvl w:ilvl="0" w:tplc="041C1DB8">
      <w:start w:val="1"/>
      <w:numFmt w:val="bullet"/>
      <w:pStyle w:val="Bol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C21F38">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6200F"/>
    <w:multiLevelType w:val="multilevel"/>
    <w:tmpl w:val="896C7AC4"/>
    <w:styleLink w:val="CurrentList1"/>
    <w:lvl w:ilvl="0">
      <w:start w:val="1"/>
      <w:numFmt w:val="bullet"/>
      <w:pStyle w:val="QXBulletedLists"/>
      <w:lvlText w:val=""/>
      <w:lvlJc w:val="left"/>
      <w:pPr>
        <w:ind w:left="648" w:hanging="360"/>
      </w:pPr>
      <w:rPr>
        <w:rFonts w:ascii="Symbol" w:hAnsi="Symbol" w:hint="default"/>
        <w:b w:val="0"/>
        <w:bCs w:val="0"/>
        <w:i w:val="0"/>
        <w:iCs w:val="0"/>
        <w:color w:val="0094B3"/>
        <w:sz w:val="24"/>
        <w:szCs w:val="24"/>
      </w:rPr>
    </w:lvl>
    <w:lvl w:ilvl="1">
      <w:start w:val="1"/>
      <w:numFmt w:val="bullet"/>
      <w:lvlText w:val="-"/>
      <w:lvlJc w:val="left"/>
      <w:pPr>
        <w:tabs>
          <w:tab w:val="num" w:pos="1440"/>
        </w:tabs>
        <w:ind w:left="1440" w:hanging="360"/>
      </w:pPr>
      <w:rPr>
        <w:rFonts w:ascii="Courier New" w:hAnsi="Courier New" w:hint="default"/>
        <w:color w:val="E68723"/>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8513B0"/>
    <w:multiLevelType w:val="multilevel"/>
    <w:tmpl w:val="896C7AC4"/>
    <w:numStyleLink w:val="CurrentList1"/>
  </w:abstractNum>
  <w:abstractNum w:abstractNumId="33" w15:restartNumberingAfterBreak="0">
    <w:nsid w:val="6BB6724B"/>
    <w:multiLevelType w:val="multilevel"/>
    <w:tmpl w:val="0B949140"/>
    <w:lvl w:ilvl="0">
      <w:start w:val="1"/>
      <w:numFmt w:val="upperLetter"/>
      <w:lvlText w:val="%1."/>
      <w:lvlJc w:val="left"/>
      <w:pPr>
        <w:ind w:left="360" w:hanging="360"/>
      </w:pPr>
      <w:rPr>
        <w:rFonts w:hint="default"/>
        <w:b w:val="0"/>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34" w15:restartNumberingAfterBreak="0">
    <w:nsid w:val="73486EA6"/>
    <w:multiLevelType w:val="hybridMultilevel"/>
    <w:tmpl w:val="6FB867A4"/>
    <w:lvl w:ilvl="0" w:tplc="0809000F">
      <w:start w:val="1"/>
      <w:numFmt w:val="decimal"/>
      <w:lvlText w:val="%1."/>
      <w:lvlJc w:val="left"/>
      <w:pPr>
        <w:ind w:left="720" w:hanging="360"/>
      </w:pPr>
      <w:rPr>
        <w:rFonts w:hint="default"/>
        <w:u w:color="41DBFF"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82D85"/>
    <w:multiLevelType w:val="hybridMultilevel"/>
    <w:tmpl w:val="59EC44A2"/>
    <w:lvl w:ilvl="0" w:tplc="4EA6A5EE">
      <w:start w:val="1"/>
      <w:numFmt w:val="decimal"/>
      <w:pStyle w:val="MainText"/>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6" w15:restartNumberingAfterBreak="0">
    <w:nsid w:val="7AD353C1"/>
    <w:multiLevelType w:val="hybridMultilevel"/>
    <w:tmpl w:val="DAC8B024"/>
    <w:lvl w:ilvl="0" w:tplc="041D0001">
      <w:start w:val="1"/>
      <w:numFmt w:val="bullet"/>
      <w:lvlText w:val=""/>
      <w:lvlJc w:val="left"/>
      <w:pPr>
        <w:tabs>
          <w:tab w:val="num" w:pos="360"/>
        </w:tabs>
        <w:ind w:left="360" w:hanging="360"/>
      </w:pPr>
      <w:rPr>
        <w:rFonts w:ascii="Symbol" w:hAnsi="Symbol" w:hint="default"/>
      </w:rPr>
    </w:lvl>
    <w:lvl w:ilvl="1" w:tplc="6D34DFDE">
      <w:start w:val="1"/>
      <w:numFmt w:val="bullet"/>
      <w:lvlText w:val=""/>
      <w:lvlJc w:val="left"/>
      <w:pPr>
        <w:tabs>
          <w:tab w:val="num" w:pos="1080"/>
        </w:tabs>
        <w:ind w:left="1080" w:hanging="360"/>
      </w:pPr>
      <w:rPr>
        <w:rFonts w:ascii="Symbol" w:hAnsi="Symbol"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428963022">
    <w:abstractNumId w:val="6"/>
    <w:lvlOverride w:ilvl="0">
      <w:lvl w:ilvl="0">
        <w:start w:val="1"/>
        <w:numFmt w:val="decimal"/>
        <w:pStyle w:val="Heading1"/>
        <w:lvlText w:val="%1"/>
        <w:lvlJc w:val="left"/>
        <w:pPr>
          <w:tabs>
            <w:tab w:val="num" w:pos="0"/>
          </w:tabs>
          <w:ind w:left="0" w:hanging="1134"/>
        </w:pPr>
        <w:rPr>
          <w:rFonts w:hint="default"/>
        </w:rPr>
      </w:lvl>
    </w:lvlOverride>
    <w:lvlOverride w:ilvl="1">
      <w:lvl w:ilvl="1">
        <w:start w:val="1"/>
        <w:numFmt w:val="decimal"/>
        <w:pStyle w:val="Heading2"/>
        <w:lvlText w:val="%1.%2"/>
        <w:lvlJc w:val="left"/>
        <w:pPr>
          <w:tabs>
            <w:tab w:val="num" w:pos="1584"/>
          </w:tabs>
          <w:ind w:left="158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upperLetter"/>
        <w:lvlText w:val="%1.%2.%3.%4"/>
        <w:lvlJc w:val="left"/>
        <w:pPr>
          <w:tabs>
            <w:tab w:val="num" w:pos="0"/>
          </w:tabs>
          <w:ind w:left="0" w:hanging="1134"/>
        </w:pPr>
        <w:rPr>
          <w:rFonts w:hint="default"/>
        </w:rPr>
      </w:lvl>
    </w:lvlOverride>
    <w:lvlOverride w:ilvl="4">
      <w:lvl w:ilvl="4">
        <w:start w:val="1"/>
        <w:numFmt w:val="decimal"/>
        <w:lvlText w:val="%1.%2.%3.%4.%5"/>
        <w:lvlJc w:val="left"/>
        <w:pPr>
          <w:tabs>
            <w:tab w:val="num" w:pos="0"/>
          </w:tabs>
          <w:ind w:left="0" w:hanging="1134"/>
        </w:pPr>
        <w:rPr>
          <w:rFonts w:hint="default"/>
        </w:rPr>
      </w:lvl>
    </w:lvlOverride>
    <w:lvlOverride w:ilvl="5">
      <w:lvl w:ilvl="5">
        <w:start w:val="1"/>
        <w:numFmt w:val="decimal"/>
        <w:lvlText w:val="%1.%2.%3.%4.%5.%6"/>
        <w:lvlJc w:val="left"/>
        <w:pPr>
          <w:tabs>
            <w:tab w:val="num" w:pos="0"/>
          </w:tabs>
          <w:ind w:left="0" w:hanging="1134"/>
        </w:pPr>
        <w:rPr>
          <w:rFonts w:hint="default"/>
        </w:rPr>
      </w:lvl>
    </w:lvlOverride>
    <w:lvlOverride w:ilvl="6">
      <w:lvl w:ilvl="6">
        <w:start w:val="1"/>
        <w:numFmt w:val="decimal"/>
        <w:lvlText w:val="%1.%2.%3.%4.%5.%6.%7"/>
        <w:lvlJc w:val="left"/>
        <w:pPr>
          <w:tabs>
            <w:tab w:val="num" w:pos="0"/>
          </w:tabs>
          <w:ind w:left="0" w:hanging="1134"/>
        </w:pPr>
        <w:rPr>
          <w:rFonts w:hint="default"/>
        </w:rPr>
      </w:lvl>
    </w:lvlOverride>
    <w:lvlOverride w:ilvl="7">
      <w:lvl w:ilvl="7">
        <w:start w:val="1"/>
        <w:numFmt w:val="decimal"/>
        <w:lvlText w:val="%1.%2.%3.%4.%5.%6.%7.%8"/>
        <w:lvlJc w:val="left"/>
        <w:pPr>
          <w:tabs>
            <w:tab w:val="num" w:pos="0"/>
          </w:tabs>
          <w:ind w:left="0" w:hanging="1134"/>
        </w:pPr>
        <w:rPr>
          <w:rFonts w:hint="default"/>
        </w:rPr>
      </w:lvl>
    </w:lvlOverride>
    <w:lvlOverride w:ilvl="8">
      <w:lvl w:ilvl="8">
        <w:start w:val="1"/>
        <w:numFmt w:val="decimal"/>
        <w:lvlText w:val="%1.%2.%3.%4.%5.%6.%7.%8.%9"/>
        <w:lvlJc w:val="left"/>
        <w:pPr>
          <w:tabs>
            <w:tab w:val="num" w:pos="0"/>
          </w:tabs>
          <w:ind w:left="0" w:hanging="1134"/>
        </w:pPr>
        <w:rPr>
          <w:rFonts w:hint="default"/>
        </w:rPr>
      </w:lvl>
    </w:lvlOverride>
  </w:num>
  <w:num w:numId="2" w16cid:durableId="1169633636">
    <w:abstractNumId w:val="30"/>
  </w:num>
  <w:num w:numId="3" w16cid:durableId="394595916">
    <w:abstractNumId w:val="16"/>
  </w:num>
  <w:num w:numId="4" w16cid:durableId="415370081">
    <w:abstractNumId w:val="31"/>
  </w:num>
  <w:num w:numId="5" w16cid:durableId="330837478">
    <w:abstractNumId w:val="3"/>
  </w:num>
  <w:num w:numId="6" w16cid:durableId="646975492">
    <w:abstractNumId w:val="32"/>
  </w:num>
  <w:num w:numId="7" w16cid:durableId="713389035">
    <w:abstractNumId w:val="15"/>
  </w:num>
  <w:num w:numId="8" w16cid:durableId="1969698119">
    <w:abstractNumId w:val="14"/>
  </w:num>
  <w:num w:numId="9" w16cid:durableId="7568404">
    <w:abstractNumId w:val="14"/>
    <w:lvlOverride w:ilvl="0">
      <w:startOverride w:val="1"/>
    </w:lvlOverride>
  </w:num>
  <w:num w:numId="10" w16cid:durableId="1287814803">
    <w:abstractNumId w:val="14"/>
    <w:lvlOverride w:ilvl="0">
      <w:startOverride w:val="1"/>
    </w:lvlOverride>
  </w:num>
  <w:num w:numId="11" w16cid:durableId="31275021">
    <w:abstractNumId w:val="0"/>
  </w:num>
  <w:num w:numId="12" w16cid:durableId="1985236402">
    <w:abstractNumId w:val="14"/>
    <w:lvlOverride w:ilvl="0">
      <w:startOverride w:val="1"/>
    </w:lvlOverride>
  </w:num>
  <w:num w:numId="13" w16cid:durableId="1455441435">
    <w:abstractNumId w:val="35"/>
  </w:num>
  <w:num w:numId="14" w16cid:durableId="2129199610">
    <w:abstractNumId w:val="14"/>
    <w:lvlOverride w:ilvl="0">
      <w:startOverride w:val="1"/>
    </w:lvlOverride>
  </w:num>
  <w:num w:numId="15" w16cid:durableId="1009455343">
    <w:abstractNumId w:val="14"/>
    <w:lvlOverride w:ilvl="0">
      <w:startOverride w:val="1"/>
    </w:lvlOverride>
  </w:num>
  <w:num w:numId="16" w16cid:durableId="634213687">
    <w:abstractNumId w:val="17"/>
  </w:num>
  <w:num w:numId="17" w16cid:durableId="981275461">
    <w:abstractNumId w:val="23"/>
  </w:num>
  <w:num w:numId="18" w16cid:durableId="2041977476">
    <w:abstractNumId w:val="20"/>
  </w:num>
  <w:num w:numId="19" w16cid:durableId="1865898785">
    <w:abstractNumId w:val="2"/>
  </w:num>
  <w:num w:numId="20" w16cid:durableId="641034277">
    <w:abstractNumId w:val="27"/>
  </w:num>
  <w:num w:numId="21" w16cid:durableId="1548227288">
    <w:abstractNumId w:val="14"/>
    <w:lvlOverride w:ilvl="0">
      <w:startOverride w:val="1"/>
    </w:lvlOverride>
  </w:num>
  <w:num w:numId="22" w16cid:durableId="748356602">
    <w:abstractNumId w:val="29"/>
  </w:num>
  <w:num w:numId="23" w16cid:durableId="825441628">
    <w:abstractNumId w:val="22"/>
  </w:num>
  <w:num w:numId="24" w16cid:durableId="523322984">
    <w:abstractNumId w:val="33"/>
  </w:num>
  <w:num w:numId="25" w16cid:durableId="258829285">
    <w:abstractNumId w:val="4"/>
  </w:num>
  <w:num w:numId="26" w16cid:durableId="627277039">
    <w:abstractNumId w:val="6"/>
    <w:lvlOverride w:ilvl="0">
      <w:lvl w:ilvl="0">
        <w:start w:val="1"/>
        <w:numFmt w:val="decimal"/>
        <w:pStyle w:val="Heading1"/>
        <w:lvlText w:val="%1"/>
        <w:lvlJc w:val="left"/>
        <w:pPr>
          <w:tabs>
            <w:tab w:val="num" w:pos="0"/>
          </w:tabs>
          <w:ind w:left="0" w:hanging="1134"/>
        </w:pPr>
        <w:rPr>
          <w:rFonts w:hint="default"/>
        </w:rPr>
      </w:lvl>
    </w:lvlOverride>
    <w:lvlOverride w:ilvl="1">
      <w:lvl w:ilvl="1">
        <w:start w:val="1"/>
        <w:numFmt w:val="decimal"/>
        <w:pStyle w:val="Heading2"/>
        <w:lvlText w:val="%1.%2"/>
        <w:lvlJc w:val="left"/>
        <w:pPr>
          <w:tabs>
            <w:tab w:val="num" w:pos="1584"/>
          </w:tabs>
          <w:ind w:left="158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lvlText w:val="%1.%2.%3.%4"/>
        <w:lvlJc w:val="left"/>
        <w:pPr>
          <w:tabs>
            <w:tab w:val="num" w:pos="0"/>
          </w:tabs>
          <w:ind w:left="0" w:hanging="1134"/>
        </w:pPr>
        <w:rPr>
          <w:rFonts w:hint="default"/>
        </w:rPr>
      </w:lvl>
    </w:lvlOverride>
    <w:lvlOverride w:ilvl="4">
      <w:lvl w:ilvl="4">
        <w:start w:val="1"/>
        <w:numFmt w:val="decimal"/>
        <w:lvlText w:val="%1.%2.%3.%4.%5"/>
        <w:lvlJc w:val="left"/>
        <w:pPr>
          <w:tabs>
            <w:tab w:val="num" w:pos="0"/>
          </w:tabs>
          <w:ind w:left="0" w:hanging="1134"/>
        </w:pPr>
        <w:rPr>
          <w:rFonts w:hint="default"/>
        </w:rPr>
      </w:lvl>
    </w:lvlOverride>
    <w:lvlOverride w:ilvl="5">
      <w:lvl w:ilvl="5">
        <w:start w:val="1"/>
        <w:numFmt w:val="decimal"/>
        <w:lvlText w:val="%1.%2.%3.%4.%5.%6"/>
        <w:lvlJc w:val="left"/>
        <w:pPr>
          <w:tabs>
            <w:tab w:val="num" w:pos="0"/>
          </w:tabs>
          <w:ind w:left="0" w:hanging="1134"/>
        </w:pPr>
        <w:rPr>
          <w:rFonts w:hint="default"/>
        </w:rPr>
      </w:lvl>
    </w:lvlOverride>
    <w:lvlOverride w:ilvl="6">
      <w:lvl w:ilvl="6">
        <w:start w:val="1"/>
        <w:numFmt w:val="decimal"/>
        <w:lvlText w:val="%1.%2.%3.%4.%5.%6.%7"/>
        <w:lvlJc w:val="left"/>
        <w:pPr>
          <w:tabs>
            <w:tab w:val="num" w:pos="0"/>
          </w:tabs>
          <w:ind w:left="0" w:hanging="1134"/>
        </w:pPr>
        <w:rPr>
          <w:rFonts w:hint="default"/>
        </w:rPr>
      </w:lvl>
    </w:lvlOverride>
    <w:lvlOverride w:ilvl="7">
      <w:lvl w:ilvl="7">
        <w:start w:val="1"/>
        <w:numFmt w:val="decimal"/>
        <w:lvlText w:val="%1.%2.%3.%4.%5.%6.%7.%8"/>
        <w:lvlJc w:val="left"/>
        <w:pPr>
          <w:tabs>
            <w:tab w:val="num" w:pos="0"/>
          </w:tabs>
          <w:ind w:left="0" w:hanging="1134"/>
        </w:pPr>
        <w:rPr>
          <w:rFonts w:hint="default"/>
        </w:rPr>
      </w:lvl>
    </w:lvlOverride>
    <w:lvlOverride w:ilvl="8">
      <w:lvl w:ilvl="8">
        <w:start w:val="1"/>
        <w:numFmt w:val="decimal"/>
        <w:lvlText w:val="%1.%2.%3.%4.%5.%6.%7.%8.%9"/>
        <w:lvlJc w:val="left"/>
        <w:pPr>
          <w:tabs>
            <w:tab w:val="num" w:pos="0"/>
          </w:tabs>
          <w:ind w:left="0" w:hanging="1134"/>
        </w:pPr>
        <w:rPr>
          <w:rFonts w:hint="default"/>
        </w:rPr>
      </w:lvl>
    </w:lvlOverride>
  </w:num>
  <w:num w:numId="27" w16cid:durableId="964191646">
    <w:abstractNumId w:val="5"/>
  </w:num>
  <w:num w:numId="28" w16cid:durableId="248585290">
    <w:abstractNumId w:val="8"/>
  </w:num>
  <w:num w:numId="29" w16cid:durableId="1420443228">
    <w:abstractNumId w:val="7"/>
  </w:num>
  <w:num w:numId="30" w16cid:durableId="1227842411">
    <w:abstractNumId w:val="14"/>
    <w:lvlOverride w:ilvl="0">
      <w:startOverride w:val="1"/>
    </w:lvlOverride>
  </w:num>
  <w:num w:numId="31" w16cid:durableId="313528053">
    <w:abstractNumId w:val="34"/>
  </w:num>
  <w:num w:numId="32" w16cid:durableId="1019818829">
    <w:abstractNumId w:val="9"/>
  </w:num>
  <w:num w:numId="33" w16cid:durableId="1439135734">
    <w:abstractNumId w:val="14"/>
    <w:lvlOverride w:ilvl="0">
      <w:startOverride w:val="1"/>
    </w:lvlOverride>
  </w:num>
  <w:num w:numId="34" w16cid:durableId="2139838464">
    <w:abstractNumId w:val="14"/>
    <w:lvlOverride w:ilvl="0">
      <w:startOverride w:val="1"/>
    </w:lvlOverride>
  </w:num>
  <w:num w:numId="35" w16cid:durableId="11952716">
    <w:abstractNumId w:val="18"/>
  </w:num>
  <w:num w:numId="36" w16cid:durableId="739989032">
    <w:abstractNumId w:val="12"/>
  </w:num>
  <w:num w:numId="37" w16cid:durableId="839924373">
    <w:abstractNumId w:val="28"/>
  </w:num>
  <w:num w:numId="38" w16cid:durableId="1155874053">
    <w:abstractNumId w:val="26"/>
  </w:num>
  <w:num w:numId="39" w16cid:durableId="1622614345">
    <w:abstractNumId w:val="25"/>
  </w:num>
  <w:num w:numId="40" w16cid:durableId="1596742015">
    <w:abstractNumId w:val="15"/>
  </w:num>
  <w:num w:numId="41" w16cid:durableId="71007865">
    <w:abstractNumId w:val="15"/>
  </w:num>
  <w:num w:numId="42" w16cid:durableId="2027248623">
    <w:abstractNumId w:val="15"/>
  </w:num>
  <w:num w:numId="43" w16cid:durableId="963735836">
    <w:abstractNumId w:val="2"/>
  </w:num>
  <w:num w:numId="44" w16cid:durableId="1356230794">
    <w:abstractNumId w:val="15"/>
  </w:num>
  <w:num w:numId="45" w16cid:durableId="521475497">
    <w:abstractNumId w:val="15"/>
  </w:num>
  <w:num w:numId="46" w16cid:durableId="1161580238">
    <w:abstractNumId w:val="15"/>
  </w:num>
  <w:num w:numId="47" w16cid:durableId="1510366488">
    <w:abstractNumId w:val="15"/>
  </w:num>
  <w:num w:numId="48" w16cid:durableId="1733653725">
    <w:abstractNumId w:val="15"/>
  </w:num>
  <w:num w:numId="49" w16cid:durableId="2030445100">
    <w:abstractNumId w:val="15"/>
  </w:num>
  <w:num w:numId="50" w16cid:durableId="2092236807">
    <w:abstractNumId w:val="15"/>
  </w:num>
  <w:num w:numId="51" w16cid:durableId="260185163">
    <w:abstractNumId w:val="15"/>
  </w:num>
  <w:num w:numId="52" w16cid:durableId="1745373099">
    <w:abstractNumId w:val="11"/>
  </w:num>
  <w:num w:numId="53" w16cid:durableId="1819149543">
    <w:abstractNumId w:val="13"/>
  </w:num>
  <w:num w:numId="54" w16cid:durableId="173807885">
    <w:abstractNumId w:val="1"/>
  </w:num>
  <w:num w:numId="55" w16cid:durableId="334579107">
    <w:abstractNumId w:val="15"/>
  </w:num>
  <w:num w:numId="56" w16cid:durableId="1307541421">
    <w:abstractNumId w:val="36"/>
  </w:num>
  <w:num w:numId="57" w16cid:durableId="1915893016">
    <w:abstractNumId w:val="19"/>
  </w:num>
  <w:num w:numId="58" w16cid:durableId="1989045532">
    <w:abstractNumId w:val="21"/>
  </w:num>
  <w:num w:numId="59" w16cid:durableId="15664311">
    <w:abstractNumId w:val="24"/>
  </w:num>
  <w:num w:numId="60" w16cid:durableId="2045709040">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22"/>
    <w:rsid w:val="0000048A"/>
    <w:rsid w:val="00001149"/>
    <w:rsid w:val="000021D0"/>
    <w:rsid w:val="00003F37"/>
    <w:rsid w:val="0000455D"/>
    <w:rsid w:val="00004575"/>
    <w:rsid w:val="000047BB"/>
    <w:rsid w:val="00004E8E"/>
    <w:rsid w:val="00005CE9"/>
    <w:rsid w:val="00006956"/>
    <w:rsid w:val="00006DF0"/>
    <w:rsid w:val="00006F69"/>
    <w:rsid w:val="000077C3"/>
    <w:rsid w:val="00007A1C"/>
    <w:rsid w:val="00010E7D"/>
    <w:rsid w:val="00011E7F"/>
    <w:rsid w:val="0001225E"/>
    <w:rsid w:val="000127BE"/>
    <w:rsid w:val="00012F08"/>
    <w:rsid w:val="00014555"/>
    <w:rsid w:val="00014648"/>
    <w:rsid w:val="000146CF"/>
    <w:rsid w:val="00015360"/>
    <w:rsid w:val="00015C9D"/>
    <w:rsid w:val="00016522"/>
    <w:rsid w:val="0002012D"/>
    <w:rsid w:val="00020464"/>
    <w:rsid w:val="00021AE2"/>
    <w:rsid w:val="0002263E"/>
    <w:rsid w:val="00024253"/>
    <w:rsid w:val="00024A8A"/>
    <w:rsid w:val="00024B3E"/>
    <w:rsid w:val="00024B47"/>
    <w:rsid w:val="00024BAB"/>
    <w:rsid w:val="0002568A"/>
    <w:rsid w:val="00025A91"/>
    <w:rsid w:val="00026D26"/>
    <w:rsid w:val="00027542"/>
    <w:rsid w:val="00030C9D"/>
    <w:rsid w:val="0003225B"/>
    <w:rsid w:val="00032D3B"/>
    <w:rsid w:val="000339C1"/>
    <w:rsid w:val="00034D05"/>
    <w:rsid w:val="000354CE"/>
    <w:rsid w:val="000362ED"/>
    <w:rsid w:val="000404EF"/>
    <w:rsid w:val="00040E01"/>
    <w:rsid w:val="00040E92"/>
    <w:rsid w:val="0004240E"/>
    <w:rsid w:val="0004273E"/>
    <w:rsid w:val="000433F4"/>
    <w:rsid w:val="0004354A"/>
    <w:rsid w:val="000436D3"/>
    <w:rsid w:val="00043735"/>
    <w:rsid w:val="00043B16"/>
    <w:rsid w:val="00043EDD"/>
    <w:rsid w:val="00043FBC"/>
    <w:rsid w:val="00045A68"/>
    <w:rsid w:val="0004718B"/>
    <w:rsid w:val="000473C5"/>
    <w:rsid w:val="000475B5"/>
    <w:rsid w:val="0005005F"/>
    <w:rsid w:val="00050C89"/>
    <w:rsid w:val="00051D86"/>
    <w:rsid w:val="000527BA"/>
    <w:rsid w:val="00052D30"/>
    <w:rsid w:val="00053A47"/>
    <w:rsid w:val="00053B0A"/>
    <w:rsid w:val="00053E1B"/>
    <w:rsid w:val="000552E8"/>
    <w:rsid w:val="00060103"/>
    <w:rsid w:val="00060DA6"/>
    <w:rsid w:val="00062EC1"/>
    <w:rsid w:val="000634A5"/>
    <w:rsid w:val="000659CD"/>
    <w:rsid w:val="000671E7"/>
    <w:rsid w:val="000673DA"/>
    <w:rsid w:val="00067574"/>
    <w:rsid w:val="00071162"/>
    <w:rsid w:val="0007139C"/>
    <w:rsid w:val="00071E51"/>
    <w:rsid w:val="000723BD"/>
    <w:rsid w:val="00073590"/>
    <w:rsid w:val="00073653"/>
    <w:rsid w:val="000739FB"/>
    <w:rsid w:val="00076108"/>
    <w:rsid w:val="0007731C"/>
    <w:rsid w:val="00077C59"/>
    <w:rsid w:val="00080A00"/>
    <w:rsid w:val="00080EEA"/>
    <w:rsid w:val="00083745"/>
    <w:rsid w:val="0008389B"/>
    <w:rsid w:val="00084829"/>
    <w:rsid w:val="000858E9"/>
    <w:rsid w:val="0008621F"/>
    <w:rsid w:val="000866B7"/>
    <w:rsid w:val="000872C2"/>
    <w:rsid w:val="00087E3E"/>
    <w:rsid w:val="00090843"/>
    <w:rsid w:val="00091277"/>
    <w:rsid w:val="00091DEE"/>
    <w:rsid w:val="0009222E"/>
    <w:rsid w:val="00092AE1"/>
    <w:rsid w:val="00093BB5"/>
    <w:rsid w:val="00093FE9"/>
    <w:rsid w:val="000949ED"/>
    <w:rsid w:val="00095284"/>
    <w:rsid w:val="00095411"/>
    <w:rsid w:val="0009617D"/>
    <w:rsid w:val="000972BE"/>
    <w:rsid w:val="000A1E2C"/>
    <w:rsid w:val="000A4174"/>
    <w:rsid w:val="000A5019"/>
    <w:rsid w:val="000A5E93"/>
    <w:rsid w:val="000A6FB5"/>
    <w:rsid w:val="000A6FE7"/>
    <w:rsid w:val="000A7227"/>
    <w:rsid w:val="000B18C2"/>
    <w:rsid w:val="000B2DC7"/>
    <w:rsid w:val="000B4107"/>
    <w:rsid w:val="000B46C7"/>
    <w:rsid w:val="000B4911"/>
    <w:rsid w:val="000B4C03"/>
    <w:rsid w:val="000B4D32"/>
    <w:rsid w:val="000B4EB7"/>
    <w:rsid w:val="000B4EE4"/>
    <w:rsid w:val="000B616B"/>
    <w:rsid w:val="000C0180"/>
    <w:rsid w:val="000C10EB"/>
    <w:rsid w:val="000C1B8E"/>
    <w:rsid w:val="000C225B"/>
    <w:rsid w:val="000C396E"/>
    <w:rsid w:val="000C44C2"/>
    <w:rsid w:val="000C60C9"/>
    <w:rsid w:val="000C64FD"/>
    <w:rsid w:val="000C7D5C"/>
    <w:rsid w:val="000D2ADB"/>
    <w:rsid w:val="000D2C34"/>
    <w:rsid w:val="000D31E9"/>
    <w:rsid w:val="000D3450"/>
    <w:rsid w:val="000D40B6"/>
    <w:rsid w:val="000D448C"/>
    <w:rsid w:val="000D4C5B"/>
    <w:rsid w:val="000D686D"/>
    <w:rsid w:val="000D6D91"/>
    <w:rsid w:val="000D70A1"/>
    <w:rsid w:val="000E23DE"/>
    <w:rsid w:val="000E2751"/>
    <w:rsid w:val="000E4155"/>
    <w:rsid w:val="000E4E45"/>
    <w:rsid w:val="000E595A"/>
    <w:rsid w:val="000E6D8D"/>
    <w:rsid w:val="000E79CF"/>
    <w:rsid w:val="000E7EE5"/>
    <w:rsid w:val="000F02DD"/>
    <w:rsid w:val="000F0469"/>
    <w:rsid w:val="000F1858"/>
    <w:rsid w:val="000F1B0F"/>
    <w:rsid w:val="000F1BBE"/>
    <w:rsid w:val="000F26FF"/>
    <w:rsid w:val="000F278C"/>
    <w:rsid w:val="000F3190"/>
    <w:rsid w:val="000F367F"/>
    <w:rsid w:val="000F4F53"/>
    <w:rsid w:val="000F5CF3"/>
    <w:rsid w:val="000F7BFB"/>
    <w:rsid w:val="001004C0"/>
    <w:rsid w:val="001018B3"/>
    <w:rsid w:val="00103DC5"/>
    <w:rsid w:val="001041BD"/>
    <w:rsid w:val="00104572"/>
    <w:rsid w:val="00104CAA"/>
    <w:rsid w:val="00105AAA"/>
    <w:rsid w:val="00105E14"/>
    <w:rsid w:val="00106DDC"/>
    <w:rsid w:val="00106E4C"/>
    <w:rsid w:val="001116B0"/>
    <w:rsid w:val="001128F7"/>
    <w:rsid w:val="001144A1"/>
    <w:rsid w:val="00114CCB"/>
    <w:rsid w:val="00115C26"/>
    <w:rsid w:val="0011753A"/>
    <w:rsid w:val="00120F52"/>
    <w:rsid w:val="00121876"/>
    <w:rsid w:val="00121FD8"/>
    <w:rsid w:val="001225F0"/>
    <w:rsid w:val="00122A3B"/>
    <w:rsid w:val="00123B72"/>
    <w:rsid w:val="00124B1D"/>
    <w:rsid w:val="00125CD1"/>
    <w:rsid w:val="00125DEE"/>
    <w:rsid w:val="00127215"/>
    <w:rsid w:val="00127F68"/>
    <w:rsid w:val="0013052A"/>
    <w:rsid w:val="00130617"/>
    <w:rsid w:val="00130777"/>
    <w:rsid w:val="001315AA"/>
    <w:rsid w:val="00133AA5"/>
    <w:rsid w:val="00135330"/>
    <w:rsid w:val="0013575C"/>
    <w:rsid w:val="00135983"/>
    <w:rsid w:val="00135B47"/>
    <w:rsid w:val="0013701D"/>
    <w:rsid w:val="00140C76"/>
    <w:rsid w:val="00141D26"/>
    <w:rsid w:val="001425CE"/>
    <w:rsid w:val="001442AA"/>
    <w:rsid w:val="0014536C"/>
    <w:rsid w:val="00145DEB"/>
    <w:rsid w:val="00146A3B"/>
    <w:rsid w:val="00146C4D"/>
    <w:rsid w:val="00146C9D"/>
    <w:rsid w:val="00147861"/>
    <w:rsid w:val="00147923"/>
    <w:rsid w:val="00150C8E"/>
    <w:rsid w:val="00151666"/>
    <w:rsid w:val="00155AC4"/>
    <w:rsid w:val="001561BD"/>
    <w:rsid w:val="0015682B"/>
    <w:rsid w:val="00156ABC"/>
    <w:rsid w:val="00157AD5"/>
    <w:rsid w:val="00157EAF"/>
    <w:rsid w:val="001602CA"/>
    <w:rsid w:val="0016103F"/>
    <w:rsid w:val="001615E0"/>
    <w:rsid w:val="0016183E"/>
    <w:rsid w:val="00162919"/>
    <w:rsid w:val="001640A1"/>
    <w:rsid w:val="0016545B"/>
    <w:rsid w:val="00166625"/>
    <w:rsid w:val="00166A7E"/>
    <w:rsid w:val="00166BC4"/>
    <w:rsid w:val="00171071"/>
    <w:rsid w:val="001720FB"/>
    <w:rsid w:val="0017395E"/>
    <w:rsid w:val="00174F5F"/>
    <w:rsid w:val="001758C4"/>
    <w:rsid w:val="001758FC"/>
    <w:rsid w:val="00176078"/>
    <w:rsid w:val="001774BE"/>
    <w:rsid w:val="0018048B"/>
    <w:rsid w:val="00181CE3"/>
    <w:rsid w:val="00183E5C"/>
    <w:rsid w:val="00183F80"/>
    <w:rsid w:val="00184D13"/>
    <w:rsid w:val="00184EB8"/>
    <w:rsid w:val="001875FC"/>
    <w:rsid w:val="00190318"/>
    <w:rsid w:val="00190D21"/>
    <w:rsid w:val="00191813"/>
    <w:rsid w:val="00192BE6"/>
    <w:rsid w:val="0019441A"/>
    <w:rsid w:val="00194E70"/>
    <w:rsid w:val="0019520A"/>
    <w:rsid w:val="0019542D"/>
    <w:rsid w:val="001954F7"/>
    <w:rsid w:val="00195D59"/>
    <w:rsid w:val="0019620E"/>
    <w:rsid w:val="00196547"/>
    <w:rsid w:val="00196887"/>
    <w:rsid w:val="00197037"/>
    <w:rsid w:val="001977A2"/>
    <w:rsid w:val="00197A41"/>
    <w:rsid w:val="00197C65"/>
    <w:rsid w:val="00197EF8"/>
    <w:rsid w:val="001A0026"/>
    <w:rsid w:val="001A0095"/>
    <w:rsid w:val="001A08AD"/>
    <w:rsid w:val="001A0DFF"/>
    <w:rsid w:val="001A46D6"/>
    <w:rsid w:val="001A5C07"/>
    <w:rsid w:val="001A7F98"/>
    <w:rsid w:val="001B0B2E"/>
    <w:rsid w:val="001B1249"/>
    <w:rsid w:val="001B186F"/>
    <w:rsid w:val="001B271F"/>
    <w:rsid w:val="001B434B"/>
    <w:rsid w:val="001B459F"/>
    <w:rsid w:val="001B60E7"/>
    <w:rsid w:val="001B6908"/>
    <w:rsid w:val="001B696B"/>
    <w:rsid w:val="001B6DCC"/>
    <w:rsid w:val="001B7F53"/>
    <w:rsid w:val="001C080D"/>
    <w:rsid w:val="001C0BAE"/>
    <w:rsid w:val="001C12F4"/>
    <w:rsid w:val="001C196E"/>
    <w:rsid w:val="001C20EE"/>
    <w:rsid w:val="001C2933"/>
    <w:rsid w:val="001C2C82"/>
    <w:rsid w:val="001C3050"/>
    <w:rsid w:val="001C36EA"/>
    <w:rsid w:val="001C4832"/>
    <w:rsid w:val="001C4C34"/>
    <w:rsid w:val="001C6BED"/>
    <w:rsid w:val="001D1BB7"/>
    <w:rsid w:val="001D1D08"/>
    <w:rsid w:val="001D22C8"/>
    <w:rsid w:val="001D34D8"/>
    <w:rsid w:val="001D3A1B"/>
    <w:rsid w:val="001D3BC6"/>
    <w:rsid w:val="001D44BE"/>
    <w:rsid w:val="001D5372"/>
    <w:rsid w:val="001D6021"/>
    <w:rsid w:val="001D73F8"/>
    <w:rsid w:val="001D780A"/>
    <w:rsid w:val="001E0630"/>
    <w:rsid w:val="001E080C"/>
    <w:rsid w:val="001E0B7A"/>
    <w:rsid w:val="001E0CB8"/>
    <w:rsid w:val="001E117E"/>
    <w:rsid w:val="001E12AB"/>
    <w:rsid w:val="001E2BFB"/>
    <w:rsid w:val="001E3CB0"/>
    <w:rsid w:val="001E3F10"/>
    <w:rsid w:val="001E618F"/>
    <w:rsid w:val="001E76DE"/>
    <w:rsid w:val="001F0573"/>
    <w:rsid w:val="001F0A9A"/>
    <w:rsid w:val="001F0B4F"/>
    <w:rsid w:val="001F0EEB"/>
    <w:rsid w:val="001F24CC"/>
    <w:rsid w:val="001F28A3"/>
    <w:rsid w:val="001F2BCE"/>
    <w:rsid w:val="001F3489"/>
    <w:rsid w:val="001F4595"/>
    <w:rsid w:val="001F4A92"/>
    <w:rsid w:val="001F5D1C"/>
    <w:rsid w:val="001F6607"/>
    <w:rsid w:val="00200453"/>
    <w:rsid w:val="0020343B"/>
    <w:rsid w:val="0020497E"/>
    <w:rsid w:val="002054CE"/>
    <w:rsid w:val="0020565C"/>
    <w:rsid w:val="00206F11"/>
    <w:rsid w:val="002070A7"/>
    <w:rsid w:val="00210160"/>
    <w:rsid w:val="00210E78"/>
    <w:rsid w:val="002113E6"/>
    <w:rsid w:val="0021173A"/>
    <w:rsid w:val="002124D2"/>
    <w:rsid w:val="002136A7"/>
    <w:rsid w:val="0021401D"/>
    <w:rsid w:val="00214B82"/>
    <w:rsid w:val="00215E3E"/>
    <w:rsid w:val="002165FA"/>
    <w:rsid w:val="002201E2"/>
    <w:rsid w:val="00220718"/>
    <w:rsid w:val="002208EA"/>
    <w:rsid w:val="00220CDC"/>
    <w:rsid w:val="00221073"/>
    <w:rsid w:val="0022113D"/>
    <w:rsid w:val="00221741"/>
    <w:rsid w:val="00223721"/>
    <w:rsid w:val="00223C61"/>
    <w:rsid w:val="00224CAC"/>
    <w:rsid w:val="00225AFC"/>
    <w:rsid w:val="00226002"/>
    <w:rsid w:val="002262BB"/>
    <w:rsid w:val="0022771A"/>
    <w:rsid w:val="0023037F"/>
    <w:rsid w:val="0023083E"/>
    <w:rsid w:val="00231266"/>
    <w:rsid w:val="002313B2"/>
    <w:rsid w:val="00231967"/>
    <w:rsid w:val="00232F32"/>
    <w:rsid w:val="002331D9"/>
    <w:rsid w:val="002336C9"/>
    <w:rsid w:val="00234355"/>
    <w:rsid w:val="00234768"/>
    <w:rsid w:val="0023590E"/>
    <w:rsid w:val="00235EF5"/>
    <w:rsid w:val="0023638F"/>
    <w:rsid w:val="00236CA3"/>
    <w:rsid w:val="00240E25"/>
    <w:rsid w:val="00240EFF"/>
    <w:rsid w:val="00241576"/>
    <w:rsid w:val="00243E46"/>
    <w:rsid w:val="0024441B"/>
    <w:rsid w:val="00245BAF"/>
    <w:rsid w:val="0024629E"/>
    <w:rsid w:val="00247382"/>
    <w:rsid w:val="0025007B"/>
    <w:rsid w:val="002507B3"/>
    <w:rsid w:val="00251746"/>
    <w:rsid w:val="00251ED9"/>
    <w:rsid w:val="002534D2"/>
    <w:rsid w:val="002546CC"/>
    <w:rsid w:val="00257761"/>
    <w:rsid w:val="002577EB"/>
    <w:rsid w:val="00260A61"/>
    <w:rsid w:val="00260C3F"/>
    <w:rsid w:val="00261DF1"/>
    <w:rsid w:val="0026305E"/>
    <w:rsid w:val="0026375E"/>
    <w:rsid w:val="002643C7"/>
    <w:rsid w:val="00265A07"/>
    <w:rsid w:val="00265CC2"/>
    <w:rsid w:val="002663D9"/>
    <w:rsid w:val="002669D3"/>
    <w:rsid w:val="00267136"/>
    <w:rsid w:val="00272388"/>
    <w:rsid w:val="00274984"/>
    <w:rsid w:val="002750D1"/>
    <w:rsid w:val="0027524B"/>
    <w:rsid w:val="00275D06"/>
    <w:rsid w:val="00277626"/>
    <w:rsid w:val="00281C5C"/>
    <w:rsid w:val="00281D09"/>
    <w:rsid w:val="00282179"/>
    <w:rsid w:val="00283242"/>
    <w:rsid w:val="00283732"/>
    <w:rsid w:val="002837E1"/>
    <w:rsid w:val="002842EE"/>
    <w:rsid w:val="00284F6F"/>
    <w:rsid w:val="00286814"/>
    <w:rsid w:val="002904D4"/>
    <w:rsid w:val="0029074F"/>
    <w:rsid w:val="00291A65"/>
    <w:rsid w:val="00292CE1"/>
    <w:rsid w:val="00292EDA"/>
    <w:rsid w:val="00294239"/>
    <w:rsid w:val="002969F8"/>
    <w:rsid w:val="00296AE2"/>
    <w:rsid w:val="00297332"/>
    <w:rsid w:val="0029752B"/>
    <w:rsid w:val="002975B0"/>
    <w:rsid w:val="002A0693"/>
    <w:rsid w:val="002A0B2D"/>
    <w:rsid w:val="002A0D96"/>
    <w:rsid w:val="002A1C2D"/>
    <w:rsid w:val="002A1F06"/>
    <w:rsid w:val="002A3967"/>
    <w:rsid w:val="002A3FD8"/>
    <w:rsid w:val="002A4450"/>
    <w:rsid w:val="002A5B95"/>
    <w:rsid w:val="002A5E7D"/>
    <w:rsid w:val="002B0E9F"/>
    <w:rsid w:val="002B1DFC"/>
    <w:rsid w:val="002B32F1"/>
    <w:rsid w:val="002B469A"/>
    <w:rsid w:val="002B5A09"/>
    <w:rsid w:val="002B5C21"/>
    <w:rsid w:val="002B5D49"/>
    <w:rsid w:val="002B6688"/>
    <w:rsid w:val="002B6E3F"/>
    <w:rsid w:val="002C006B"/>
    <w:rsid w:val="002C19F5"/>
    <w:rsid w:val="002C2353"/>
    <w:rsid w:val="002C3489"/>
    <w:rsid w:val="002C3BB4"/>
    <w:rsid w:val="002C409A"/>
    <w:rsid w:val="002C479E"/>
    <w:rsid w:val="002C47ED"/>
    <w:rsid w:val="002C4C3E"/>
    <w:rsid w:val="002C608D"/>
    <w:rsid w:val="002C64F4"/>
    <w:rsid w:val="002D13BA"/>
    <w:rsid w:val="002D1493"/>
    <w:rsid w:val="002D17F3"/>
    <w:rsid w:val="002D208C"/>
    <w:rsid w:val="002D3508"/>
    <w:rsid w:val="002D52FF"/>
    <w:rsid w:val="002D5CB7"/>
    <w:rsid w:val="002D6B5C"/>
    <w:rsid w:val="002E0817"/>
    <w:rsid w:val="002E0C44"/>
    <w:rsid w:val="002E179D"/>
    <w:rsid w:val="002E1A8D"/>
    <w:rsid w:val="002E2181"/>
    <w:rsid w:val="002E24A1"/>
    <w:rsid w:val="002E2958"/>
    <w:rsid w:val="002E390F"/>
    <w:rsid w:val="002E3CC3"/>
    <w:rsid w:val="002E4018"/>
    <w:rsid w:val="002E42E4"/>
    <w:rsid w:val="002E4D0E"/>
    <w:rsid w:val="002E4ECA"/>
    <w:rsid w:val="002E6E55"/>
    <w:rsid w:val="002E779C"/>
    <w:rsid w:val="002F0EA9"/>
    <w:rsid w:val="002F3834"/>
    <w:rsid w:val="002F3C6B"/>
    <w:rsid w:val="002F5046"/>
    <w:rsid w:val="002F627C"/>
    <w:rsid w:val="002F7D21"/>
    <w:rsid w:val="002F7F9C"/>
    <w:rsid w:val="003000D7"/>
    <w:rsid w:val="00300F97"/>
    <w:rsid w:val="00301F2F"/>
    <w:rsid w:val="003027C8"/>
    <w:rsid w:val="00302C49"/>
    <w:rsid w:val="003034F1"/>
    <w:rsid w:val="003046FA"/>
    <w:rsid w:val="003046FB"/>
    <w:rsid w:val="003051DA"/>
    <w:rsid w:val="00305370"/>
    <w:rsid w:val="00305B14"/>
    <w:rsid w:val="00305F66"/>
    <w:rsid w:val="0030649A"/>
    <w:rsid w:val="003065A1"/>
    <w:rsid w:val="003065E7"/>
    <w:rsid w:val="003066C2"/>
    <w:rsid w:val="0030701C"/>
    <w:rsid w:val="0030780F"/>
    <w:rsid w:val="00307A49"/>
    <w:rsid w:val="00310383"/>
    <w:rsid w:val="003105FF"/>
    <w:rsid w:val="003111EE"/>
    <w:rsid w:val="00313AC5"/>
    <w:rsid w:val="0031417E"/>
    <w:rsid w:val="00315892"/>
    <w:rsid w:val="00315F1D"/>
    <w:rsid w:val="00315F3F"/>
    <w:rsid w:val="00315F6A"/>
    <w:rsid w:val="00316837"/>
    <w:rsid w:val="0031764C"/>
    <w:rsid w:val="00317EC0"/>
    <w:rsid w:val="0032021B"/>
    <w:rsid w:val="00321AFD"/>
    <w:rsid w:val="00321B33"/>
    <w:rsid w:val="00322B04"/>
    <w:rsid w:val="00323046"/>
    <w:rsid w:val="00323E83"/>
    <w:rsid w:val="00323EA2"/>
    <w:rsid w:val="00324CDA"/>
    <w:rsid w:val="00327598"/>
    <w:rsid w:val="00327A01"/>
    <w:rsid w:val="003301EB"/>
    <w:rsid w:val="00331480"/>
    <w:rsid w:val="00333190"/>
    <w:rsid w:val="0033349A"/>
    <w:rsid w:val="00333615"/>
    <w:rsid w:val="003348E5"/>
    <w:rsid w:val="003350F3"/>
    <w:rsid w:val="00335732"/>
    <w:rsid w:val="00335F7D"/>
    <w:rsid w:val="00337E26"/>
    <w:rsid w:val="00340045"/>
    <w:rsid w:val="003401F8"/>
    <w:rsid w:val="003405DC"/>
    <w:rsid w:val="00342689"/>
    <w:rsid w:val="003434E8"/>
    <w:rsid w:val="003437D8"/>
    <w:rsid w:val="00343BC7"/>
    <w:rsid w:val="00343D9A"/>
    <w:rsid w:val="00346D1C"/>
    <w:rsid w:val="00346E16"/>
    <w:rsid w:val="00350132"/>
    <w:rsid w:val="003505DC"/>
    <w:rsid w:val="00351F7B"/>
    <w:rsid w:val="003537FC"/>
    <w:rsid w:val="00357545"/>
    <w:rsid w:val="003600A6"/>
    <w:rsid w:val="003606B6"/>
    <w:rsid w:val="00361446"/>
    <w:rsid w:val="0036229D"/>
    <w:rsid w:val="0036385D"/>
    <w:rsid w:val="003641D0"/>
    <w:rsid w:val="0036429B"/>
    <w:rsid w:val="003650D9"/>
    <w:rsid w:val="0036572F"/>
    <w:rsid w:val="00365B48"/>
    <w:rsid w:val="003703CC"/>
    <w:rsid w:val="003712E6"/>
    <w:rsid w:val="00371A9B"/>
    <w:rsid w:val="0037256A"/>
    <w:rsid w:val="00372EBF"/>
    <w:rsid w:val="003734BC"/>
    <w:rsid w:val="003767C3"/>
    <w:rsid w:val="00377496"/>
    <w:rsid w:val="0038027D"/>
    <w:rsid w:val="0038090F"/>
    <w:rsid w:val="00381194"/>
    <w:rsid w:val="00381392"/>
    <w:rsid w:val="00381870"/>
    <w:rsid w:val="00381AD8"/>
    <w:rsid w:val="00381E48"/>
    <w:rsid w:val="003836EA"/>
    <w:rsid w:val="003855FA"/>
    <w:rsid w:val="00385A54"/>
    <w:rsid w:val="00387794"/>
    <w:rsid w:val="00387C38"/>
    <w:rsid w:val="00391AE8"/>
    <w:rsid w:val="00395CD7"/>
    <w:rsid w:val="00397140"/>
    <w:rsid w:val="00397FAB"/>
    <w:rsid w:val="003A09EF"/>
    <w:rsid w:val="003A0B0C"/>
    <w:rsid w:val="003A16C2"/>
    <w:rsid w:val="003A18AA"/>
    <w:rsid w:val="003A2456"/>
    <w:rsid w:val="003A2B92"/>
    <w:rsid w:val="003A2C2E"/>
    <w:rsid w:val="003A2E39"/>
    <w:rsid w:val="003A35B4"/>
    <w:rsid w:val="003A5859"/>
    <w:rsid w:val="003A60A7"/>
    <w:rsid w:val="003A6180"/>
    <w:rsid w:val="003A67DF"/>
    <w:rsid w:val="003B1EE3"/>
    <w:rsid w:val="003B246E"/>
    <w:rsid w:val="003B28B8"/>
    <w:rsid w:val="003B2BAB"/>
    <w:rsid w:val="003B36CC"/>
    <w:rsid w:val="003B491C"/>
    <w:rsid w:val="003B491F"/>
    <w:rsid w:val="003B4A58"/>
    <w:rsid w:val="003C0798"/>
    <w:rsid w:val="003C1B21"/>
    <w:rsid w:val="003C1DCA"/>
    <w:rsid w:val="003C2072"/>
    <w:rsid w:val="003C2163"/>
    <w:rsid w:val="003C3E79"/>
    <w:rsid w:val="003C3E9A"/>
    <w:rsid w:val="003C400B"/>
    <w:rsid w:val="003C45FE"/>
    <w:rsid w:val="003C5F4A"/>
    <w:rsid w:val="003C7E13"/>
    <w:rsid w:val="003D0778"/>
    <w:rsid w:val="003D24BE"/>
    <w:rsid w:val="003D28B4"/>
    <w:rsid w:val="003D2BA8"/>
    <w:rsid w:val="003D3DAA"/>
    <w:rsid w:val="003D4B2A"/>
    <w:rsid w:val="003D502B"/>
    <w:rsid w:val="003D54C4"/>
    <w:rsid w:val="003D597F"/>
    <w:rsid w:val="003D5CFB"/>
    <w:rsid w:val="003D609D"/>
    <w:rsid w:val="003D69CC"/>
    <w:rsid w:val="003D6B3A"/>
    <w:rsid w:val="003D6F0D"/>
    <w:rsid w:val="003D725F"/>
    <w:rsid w:val="003E0AA3"/>
    <w:rsid w:val="003E2E8D"/>
    <w:rsid w:val="003E348C"/>
    <w:rsid w:val="003E3C0E"/>
    <w:rsid w:val="003E464F"/>
    <w:rsid w:val="003E6104"/>
    <w:rsid w:val="003E6653"/>
    <w:rsid w:val="003E7F70"/>
    <w:rsid w:val="003F2612"/>
    <w:rsid w:val="003F2B6B"/>
    <w:rsid w:val="003F4188"/>
    <w:rsid w:val="003F42CE"/>
    <w:rsid w:val="003F4409"/>
    <w:rsid w:val="003F5F71"/>
    <w:rsid w:val="003F69F2"/>
    <w:rsid w:val="003F711A"/>
    <w:rsid w:val="003F75D5"/>
    <w:rsid w:val="004002E8"/>
    <w:rsid w:val="00400A69"/>
    <w:rsid w:val="00400D76"/>
    <w:rsid w:val="00401BA5"/>
    <w:rsid w:val="0040224B"/>
    <w:rsid w:val="0040278D"/>
    <w:rsid w:val="00402D49"/>
    <w:rsid w:val="004032A4"/>
    <w:rsid w:val="004045F0"/>
    <w:rsid w:val="00404A2F"/>
    <w:rsid w:val="00404D4C"/>
    <w:rsid w:val="00405B0D"/>
    <w:rsid w:val="00406233"/>
    <w:rsid w:val="00410198"/>
    <w:rsid w:val="00410A7D"/>
    <w:rsid w:val="00410CBB"/>
    <w:rsid w:val="00412B34"/>
    <w:rsid w:val="00413074"/>
    <w:rsid w:val="004133A3"/>
    <w:rsid w:val="004134E8"/>
    <w:rsid w:val="00414555"/>
    <w:rsid w:val="004152A3"/>
    <w:rsid w:val="00416F56"/>
    <w:rsid w:val="00420A6F"/>
    <w:rsid w:val="00420B21"/>
    <w:rsid w:val="00422D3B"/>
    <w:rsid w:val="00423019"/>
    <w:rsid w:val="004231E6"/>
    <w:rsid w:val="00424532"/>
    <w:rsid w:val="004258C6"/>
    <w:rsid w:val="00427143"/>
    <w:rsid w:val="00427BCC"/>
    <w:rsid w:val="00431687"/>
    <w:rsid w:val="004319EA"/>
    <w:rsid w:val="00431F7E"/>
    <w:rsid w:val="00434131"/>
    <w:rsid w:val="004345FC"/>
    <w:rsid w:val="00434869"/>
    <w:rsid w:val="00434C29"/>
    <w:rsid w:val="00434F30"/>
    <w:rsid w:val="0043503F"/>
    <w:rsid w:val="004379BA"/>
    <w:rsid w:val="00437D20"/>
    <w:rsid w:val="00437F4B"/>
    <w:rsid w:val="004461DD"/>
    <w:rsid w:val="00446A2C"/>
    <w:rsid w:val="00446B9F"/>
    <w:rsid w:val="00450283"/>
    <w:rsid w:val="004523B7"/>
    <w:rsid w:val="00453C52"/>
    <w:rsid w:val="00455450"/>
    <w:rsid w:val="00455B45"/>
    <w:rsid w:val="00455D89"/>
    <w:rsid w:val="00455F91"/>
    <w:rsid w:val="0045668F"/>
    <w:rsid w:val="00457C59"/>
    <w:rsid w:val="004605DA"/>
    <w:rsid w:val="00460AA4"/>
    <w:rsid w:val="004610D4"/>
    <w:rsid w:val="00461680"/>
    <w:rsid w:val="00462164"/>
    <w:rsid w:val="00462F55"/>
    <w:rsid w:val="004636C0"/>
    <w:rsid w:val="00463A60"/>
    <w:rsid w:val="00464CA0"/>
    <w:rsid w:val="00466201"/>
    <w:rsid w:val="00467971"/>
    <w:rsid w:val="00470F93"/>
    <w:rsid w:val="00471A99"/>
    <w:rsid w:val="00472E7D"/>
    <w:rsid w:val="004730E8"/>
    <w:rsid w:val="004731C2"/>
    <w:rsid w:val="00474919"/>
    <w:rsid w:val="00474AFF"/>
    <w:rsid w:val="00474B0C"/>
    <w:rsid w:val="00476D72"/>
    <w:rsid w:val="00477163"/>
    <w:rsid w:val="004777F6"/>
    <w:rsid w:val="00481DD5"/>
    <w:rsid w:val="00482B1F"/>
    <w:rsid w:val="00483924"/>
    <w:rsid w:val="004848D9"/>
    <w:rsid w:val="00484B03"/>
    <w:rsid w:val="00485D34"/>
    <w:rsid w:val="00487377"/>
    <w:rsid w:val="0048794B"/>
    <w:rsid w:val="00487DB3"/>
    <w:rsid w:val="004903F3"/>
    <w:rsid w:val="0049089E"/>
    <w:rsid w:val="00490DD6"/>
    <w:rsid w:val="00491A7C"/>
    <w:rsid w:val="0049345F"/>
    <w:rsid w:val="00493F78"/>
    <w:rsid w:val="004955D9"/>
    <w:rsid w:val="00495A3C"/>
    <w:rsid w:val="004963EB"/>
    <w:rsid w:val="004967BE"/>
    <w:rsid w:val="00496C0B"/>
    <w:rsid w:val="00497791"/>
    <w:rsid w:val="00497B90"/>
    <w:rsid w:val="004A00A6"/>
    <w:rsid w:val="004A03F7"/>
    <w:rsid w:val="004A1376"/>
    <w:rsid w:val="004A2069"/>
    <w:rsid w:val="004A3475"/>
    <w:rsid w:val="004A371A"/>
    <w:rsid w:val="004A3B54"/>
    <w:rsid w:val="004A41DB"/>
    <w:rsid w:val="004A554D"/>
    <w:rsid w:val="004B02A7"/>
    <w:rsid w:val="004B1263"/>
    <w:rsid w:val="004B12AF"/>
    <w:rsid w:val="004B1BCB"/>
    <w:rsid w:val="004B2016"/>
    <w:rsid w:val="004B4657"/>
    <w:rsid w:val="004B5E4D"/>
    <w:rsid w:val="004B6B21"/>
    <w:rsid w:val="004B722E"/>
    <w:rsid w:val="004C0714"/>
    <w:rsid w:val="004C0B68"/>
    <w:rsid w:val="004C11F6"/>
    <w:rsid w:val="004C29C4"/>
    <w:rsid w:val="004C2D19"/>
    <w:rsid w:val="004D15F2"/>
    <w:rsid w:val="004D2116"/>
    <w:rsid w:val="004D23DE"/>
    <w:rsid w:val="004D2A3A"/>
    <w:rsid w:val="004D2D6B"/>
    <w:rsid w:val="004D3561"/>
    <w:rsid w:val="004D3D3A"/>
    <w:rsid w:val="004D4347"/>
    <w:rsid w:val="004D57CF"/>
    <w:rsid w:val="004D5BB1"/>
    <w:rsid w:val="004D6DAC"/>
    <w:rsid w:val="004D7E5B"/>
    <w:rsid w:val="004E1EDA"/>
    <w:rsid w:val="004E21E2"/>
    <w:rsid w:val="004E2E54"/>
    <w:rsid w:val="004E3860"/>
    <w:rsid w:val="004E62DC"/>
    <w:rsid w:val="004E75D8"/>
    <w:rsid w:val="004F0557"/>
    <w:rsid w:val="004F2FCB"/>
    <w:rsid w:val="004F367B"/>
    <w:rsid w:val="004F36A6"/>
    <w:rsid w:val="004F3E95"/>
    <w:rsid w:val="004F469E"/>
    <w:rsid w:val="004F6B4C"/>
    <w:rsid w:val="00500AAF"/>
    <w:rsid w:val="00500CE8"/>
    <w:rsid w:val="00501F8A"/>
    <w:rsid w:val="00503E9A"/>
    <w:rsid w:val="0050404B"/>
    <w:rsid w:val="00504B13"/>
    <w:rsid w:val="00504C21"/>
    <w:rsid w:val="00506314"/>
    <w:rsid w:val="005063E9"/>
    <w:rsid w:val="005063EA"/>
    <w:rsid w:val="005071AB"/>
    <w:rsid w:val="00507314"/>
    <w:rsid w:val="005073FD"/>
    <w:rsid w:val="0051054B"/>
    <w:rsid w:val="00510591"/>
    <w:rsid w:val="005116A7"/>
    <w:rsid w:val="00511764"/>
    <w:rsid w:val="00512DA4"/>
    <w:rsid w:val="00513801"/>
    <w:rsid w:val="005140FC"/>
    <w:rsid w:val="005145C2"/>
    <w:rsid w:val="0051604E"/>
    <w:rsid w:val="00520E9C"/>
    <w:rsid w:val="00523106"/>
    <w:rsid w:val="00523719"/>
    <w:rsid w:val="005238CE"/>
    <w:rsid w:val="0052476B"/>
    <w:rsid w:val="00524FF0"/>
    <w:rsid w:val="00525926"/>
    <w:rsid w:val="005259CA"/>
    <w:rsid w:val="005264ED"/>
    <w:rsid w:val="00527D79"/>
    <w:rsid w:val="00531705"/>
    <w:rsid w:val="00532C2A"/>
    <w:rsid w:val="00534254"/>
    <w:rsid w:val="00537868"/>
    <w:rsid w:val="00540CE9"/>
    <w:rsid w:val="00540E02"/>
    <w:rsid w:val="00540E37"/>
    <w:rsid w:val="0054136E"/>
    <w:rsid w:val="00541DF8"/>
    <w:rsid w:val="00541FEC"/>
    <w:rsid w:val="00542071"/>
    <w:rsid w:val="00544F62"/>
    <w:rsid w:val="00545543"/>
    <w:rsid w:val="00546100"/>
    <w:rsid w:val="00546294"/>
    <w:rsid w:val="005473EF"/>
    <w:rsid w:val="00547DCF"/>
    <w:rsid w:val="00547FFA"/>
    <w:rsid w:val="00550679"/>
    <w:rsid w:val="00550D4A"/>
    <w:rsid w:val="00550E3B"/>
    <w:rsid w:val="00551809"/>
    <w:rsid w:val="00551AA7"/>
    <w:rsid w:val="0055393C"/>
    <w:rsid w:val="005539E7"/>
    <w:rsid w:val="00553E64"/>
    <w:rsid w:val="0055440B"/>
    <w:rsid w:val="00554D87"/>
    <w:rsid w:val="005562B7"/>
    <w:rsid w:val="00556DA6"/>
    <w:rsid w:val="00557B4C"/>
    <w:rsid w:val="005606CD"/>
    <w:rsid w:val="0056106A"/>
    <w:rsid w:val="00563101"/>
    <w:rsid w:val="00563AC2"/>
    <w:rsid w:val="00564C85"/>
    <w:rsid w:val="0056528A"/>
    <w:rsid w:val="00565517"/>
    <w:rsid w:val="00565DE6"/>
    <w:rsid w:val="0056668E"/>
    <w:rsid w:val="00566F24"/>
    <w:rsid w:val="0056760F"/>
    <w:rsid w:val="00567ACD"/>
    <w:rsid w:val="005704E0"/>
    <w:rsid w:val="00570D0A"/>
    <w:rsid w:val="00571B9E"/>
    <w:rsid w:val="00571D17"/>
    <w:rsid w:val="0057240B"/>
    <w:rsid w:val="00572940"/>
    <w:rsid w:val="00574156"/>
    <w:rsid w:val="00574345"/>
    <w:rsid w:val="005744E2"/>
    <w:rsid w:val="00575809"/>
    <w:rsid w:val="00575E95"/>
    <w:rsid w:val="00576AAE"/>
    <w:rsid w:val="005811B9"/>
    <w:rsid w:val="00581F03"/>
    <w:rsid w:val="005831A8"/>
    <w:rsid w:val="00583480"/>
    <w:rsid w:val="00583EF3"/>
    <w:rsid w:val="0058424B"/>
    <w:rsid w:val="005854A7"/>
    <w:rsid w:val="005862EE"/>
    <w:rsid w:val="00586B3A"/>
    <w:rsid w:val="00586D0C"/>
    <w:rsid w:val="00586E1F"/>
    <w:rsid w:val="005875DC"/>
    <w:rsid w:val="00590E11"/>
    <w:rsid w:val="005916E4"/>
    <w:rsid w:val="005922E7"/>
    <w:rsid w:val="00594172"/>
    <w:rsid w:val="00594928"/>
    <w:rsid w:val="005949A5"/>
    <w:rsid w:val="0059757C"/>
    <w:rsid w:val="005A0ACD"/>
    <w:rsid w:val="005A0CD1"/>
    <w:rsid w:val="005A19D7"/>
    <w:rsid w:val="005A2DDE"/>
    <w:rsid w:val="005A3D49"/>
    <w:rsid w:val="005A4B05"/>
    <w:rsid w:val="005A4BAE"/>
    <w:rsid w:val="005A5BEA"/>
    <w:rsid w:val="005A61E5"/>
    <w:rsid w:val="005A74EC"/>
    <w:rsid w:val="005B2186"/>
    <w:rsid w:val="005B25D6"/>
    <w:rsid w:val="005B2883"/>
    <w:rsid w:val="005B3022"/>
    <w:rsid w:val="005B316A"/>
    <w:rsid w:val="005B5368"/>
    <w:rsid w:val="005B5ABD"/>
    <w:rsid w:val="005B6367"/>
    <w:rsid w:val="005B64E9"/>
    <w:rsid w:val="005B66A6"/>
    <w:rsid w:val="005C0760"/>
    <w:rsid w:val="005C3B1A"/>
    <w:rsid w:val="005C4296"/>
    <w:rsid w:val="005D05FA"/>
    <w:rsid w:val="005D16EB"/>
    <w:rsid w:val="005D2083"/>
    <w:rsid w:val="005D2359"/>
    <w:rsid w:val="005D2868"/>
    <w:rsid w:val="005D296F"/>
    <w:rsid w:val="005D565F"/>
    <w:rsid w:val="005D584B"/>
    <w:rsid w:val="005D69FD"/>
    <w:rsid w:val="005D6B15"/>
    <w:rsid w:val="005D6CED"/>
    <w:rsid w:val="005D79F4"/>
    <w:rsid w:val="005D7D56"/>
    <w:rsid w:val="005E05E5"/>
    <w:rsid w:val="005E0E63"/>
    <w:rsid w:val="005E13F0"/>
    <w:rsid w:val="005E17F8"/>
    <w:rsid w:val="005E2507"/>
    <w:rsid w:val="005E2E6D"/>
    <w:rsid w:val="005E44FE"/>
    <w:rsid w:val="005E4A65"/>
    <w:rsid w:val="005E5293"/>
    <w:rsid w:val="005E57A6"/>
    <w:rsid w:val="005E5A78"/>
    <w:rsid w:val="005E5D21"/>
    <w:rsid w:val="005E61CC"/>
    <w:rsid w:val="005E6508"/>
    <w:rsid w:val="005E68CF"/>
    <w:rsid w:val="005F0D05"/>
    <w:rsid w:val="005F0D95"/>
    <w:rsid w:val="005F1BE2"/>
    <w:rsid w:val="005F22E3"/>
    <w:rsid w:val="005F2369"/>
    <w:rsid w:val="005F4911"/>
    <w:rsid w:val="005F4C5B"/>
    <w:rsid w:val="005F4D34"/>
    <w:rsid w:val="005F59ED"/>
    <w:rsid w:val="005F6AD6"/>
    <w:rsid w:val="005F6F43"/>
    <w:rsid w:val="005F7640"/>
    <w:rsid w:val="00600F07"/>
    <w:rsid w:val="00600F8D"/>
    <w:rsid w:val="00601C19"/>
    <w:rsid w:val="00602DA6"/>
    <w:rsid w:val="00603CBC"/>
    <w:rsid w:val="00604072"/>
    <w:rsid w:val="0060424A"/>
    <w:rsid w:val="00604284"/>
    <w:rsid w:val="006048B9"/>
    <w:rsid w:val="006048CA"/>
    <w:rsid w:val="006055E0"/>
    <w:rsid w:val="00605DF7"/>
    <w:rsid w:val="006060B6"/>
    <w:rsid w:val="00606350"/>
    <w:rsid w:val="00606573"/>
    <w:rsid w:val="00610366"/>
    <w:rsid w:val="00611B13"/>
    <w:rsid w:val="00611E53"/>
    <w:rsid w:val="006132AA"/>
    <w:rsid w:val="006137BB"/>
    <w:rsid w:val="00614148"/>
    <w:rsid w:val="0061515D"/>
    <w:rsid w:val="00615283"/>
    <w:rsid w:val="006166B5"/>
    <w:rsid w:val="00617EE0"/>
    <w:rsid w:val="00620C0F"/>
    <w:rsid w:val="00621460"/>
    <w:rsid w:val="00622529"/>
    <w:rsid w:val="00622BDC"/>
    <w:rsid w:val="00622D66"/>
    <w:rsid w:val="00623CC0"/>
    <w:rsid w:val="006243D8"/>
    <w:rsid w:val="00624748"/>
    <w:rsid w:val="006252E9"/>
    <w:rsid w:val="0062596F"/>
    <w:rsid w:val="00625CB1"/>
    <w:rsid w:val="00626699"/>
    <w:rsid w:val="00630171"/>
    <w:rsid w:val="00630413"/>
    <w:rsid w:val="00630C46"/>
    <w:rsid w:val="00631091"/>
    <w:rsid w:val="00632971"/>
    <w:rsid w:val="00634012"/>
    <w:rsid w:val="00637B60"/>
    <w:rsid w:val="00642C0C"/>
    <w:rsid w:val="00644053"/>
    <w:rsid w:val="006440F0"/>
    <w:rsid w:val="00644556"/>
    <w:rsid w:val="00645176"/>
    <w:rsid w:val="00645843"/>
    <w:rsid w:val="00647F14"/>
    <w:rsid w:val="006502A7"/>
    <w:rsid w:val="00650E72"/>
    <w:rsid w:val="00651C77"/>
    <w:rsid w:val="00652548"/>
    <w:rsid w:val="00652AA0"/>
    <w:rsid w:val="00653D61"/>
    <w:rsid w:val="0065454A"/>
    <w:rsid w:val="00654C7A"/>
    <w:rsid w:val="00656831"/>
    <w:rsid w:val="00661060"/>
    <w:rsid w:val="00661B7C"/>
    <w:rsid w:val="00663A87"/>
    <w:rsid w:val="00664730"/>
    <w:rsid w:val="0066659B"/>
    <w:rsid w:val="006666D2"/>
    <w:rsid w:val="006708F8"/>
    <w:rsid w:val="0067100B"/>
    <w:rsid w:val="006713F2"/>
    <w:rsid w:val="0067198C"/>
    <w:rsid w:val="00671CE7"/>
    <w:rsid w:val="00671D21"/>
    <w:rsid w:val="006730ED"/>
    <w:rsid w:val="00673A47"/>
    <w:rsid w:val="00675921"/>
    <w:rsid w:val="00676F6B"/>
    <w:rsid w:val="0067736D"/>
    <w:rsid w:val="00677CF8"/>
    <w:rsid w:val="00677F11"/>
    <w:rsid w:val="0068118F"/>
    <w:rsid w:val="00681F1B"/>
    <w:rsid w:val="0068500E"/>
    <w:rsid w:val="00687282"/>
    <w:rsid w:val="00687705"/>
    <w:rsid w:val="006877CA"/>
    <w:rsid w:val="00690716"/>
    <w:rsid w:val="00690749"/>
    <w:rsid w:val="00691FC5"/>
    <w:rsid w:val="006934CF"/>
    <w:rsid w:val="0069418B"/>
    <w:rsid w:val="006944D2"/>
    <w:rsid w:val="00694814"/>
    <w:rsid w:val="00695063"/>
    <w:rsid w:val="006951D5"/>
    <w:rsid w:val="006956F5"/>
    <w:rsid w:val="00695E8D"/>
    <w:rsid w:val="0069601A"/>
    <w:rsid w:val="006962E4"/>
    <w:rsid w:val="006966C3"/>
    <w:rsid w:val="00697766"/>
    <w:rsid w:val="006979A0"/>
    <w:rsid w:val="00697E80"/>
    <w:rsid w:val="006A0018"/>
    <w:rsid w:val="006A3AF8"/>
    <w:rsid w:val="006A484D"/>
    <w:rsid w:val="006A5B33"/>
    <w:rsid w:val="006A5D2B"/>
    <w:rsid w:val="006A677E"/>
    <w:rsid w:val="006B1270"/>
    <w:rsid w:val="006B1FF7"/>
    <w:rsid w:val="006B294B"/>
    <w:rsid w:val="006B2EDE"/>
    <w:rsid w:val="006B3211"/>
    <w:rsid w:val="006B3B1C"/>
    <w:rsid w:val="006B4116"/>
    <w:rsid w:val="006B63F3"/>
    <w:rsid w:val="006B653C"/>
    <w:rsid w:val="006C0518"/>
    <w:rsid w:val="006C1835"/>
    <w:rsid w:val="006C3100"/>
    <w:rsid w:val="006C3DA7"/>
    <w:rsid w:val="006C3FFE"/>
    <w:rsid w:val="006C410B"/>
    <w:rsid w:val="006C548A"/>
    <w:rsid w:val="006C595A"/>
    <w:rsid w:val="006C6E1F"/>
    <w:rsid w:val="006C7AD3"/>
    <w:rsid w:val="006C7CB6"/>
    <w:rsid w:val="006D046B"/>
    <w:rsid w:val="006D1881"/>
    <w:rsid w:val="006D2973"/>
    <w:rsid w:val="006D2F55"/>
    <w:rsid w:val="006D317B"/>
    <w:rsid w:val="006D3202"/>
    <w:rsid w:val="006D3D57"/>
    <w:rsid w:val="006D3EBF"/>
    <w:rsid w:val="006D698A"/>
    <w:rsid w:val="006D6FAA"/>
    <w:rsid w:val="006D75F6"/>
    <w:rsid w:val="006E0050"/>
    <w:rsid w:val="006E074E"/>
    <w:rsid w:val="006E1485"/>
    <w:rsid w:val="006E24FF"/>
    <w:rsid w:val="006E33A0"/>
    <w:rsid w:val="006E48BB"/>
    <w:rsid w:val="006E4ADD"/>
    <w:rsid w:val="006E5A70"/>
    <w:rsid w:val="006E651B"/>
    <w:rsid w:val="006E671C"/>
    <w:rsid w:val="006E6961"/>
    <w:rsid w:val="006E6F75"/>
    <w:rsid w:val="006F0B2A"/>
    <w:rsid w:val="006F0F6C"/>
    <w:rsid w:val="006F2E15"/>
    <w:rsid w:val="006F49C7"/>
    <w:rsid w:val="006F4CA3"/>
    <w:rsid w:val="006F66B4"/>
    <w:rsid w:val="006F7A6D"/>
    <w:rsid w:val="00700407"/>
    <w:rsid w:val="00700E56"/>
    <w:rsid w:val="00702EB9"/>
    <w:rsid w:val="00704950"/>
    <w:rsid w:val="007055C9"/>
    <w:rsid w:val="00705BD3"/>
    <w:rsid w:val="0070639C"/>
    <w:rsid w:val="00706500"/>
    <w:rsid w:val="00710740"/>
    <w:rsid w:val="00710D2B"/>
    <w:rsid w:val="00712DCA"/>
    <w:rsid w:val="007134CE"/>
    <w:rsid w:val="0071395F"/>
    <w:rsid w:val="00713DE1"/>
    <w:rsid w:val="00713ED8"/>
    <w:rsid w:val="007146EA"/>
    <w:rsid w:val="007157DD"/>
    <w:rsid w:val="00716278"/>
    <w:rsid w:val="007175DF"/>
    <w:rsid w:val="00717BEF"/>
    <w:rsid w:val="00717ECE"/>
    <w:rsid w:val="00721A19"/>
    <w:rsid w:val="00722A17"/>
    <w:rsid w:val="00723837"/>
    <w:rsid w:val="007239E6"/>
    <w:rsid w:val="00723D1F"/>
    <w:rsid w:val="0072427F"/>
    <w:rsid w:val="00724E2D"/>
    <w:rsid w:val="00724E9E"/>
    <w:rsid w:val="007273DD"/>
    <w:rsid w:val="007307FE"/>
    <w:rsid w:val="007312F3"/>
    <w:rsid w:val="00732A9D"/>
    <w:rsid w:val="00735291"/>
    <w:rsid w:val="0073634D"/>
    <w:rsid w:val="00736EC8"/>
    <w:rsid w:val="0073718B"/>
    <w:rsid w:val="00737A04"/>
    <w:rsid w:val="00740781"/>
    <w:rsid w:val="007418AD"/>
    <w:rsid w:val="00742B57"/>
    <w:rsid w:val="00744333"/>
    <w:rsid w:val="00745462"/>
    <w:rsid w:val="00747C78"/>
    <w:rsid w:val="007501DE"/>
    <w:rsid w:val="00750B51"/>
    <w:rsid w:val="00751589"/>
    <w:rsid w:val="00751A81"/>
    <w:rsid w:val="00752581"/>
    <w:rsid w:val="00752624"/>
    <w:rsid w:val="00752BE4"/>
    <w:rsid w:val="007548E2"/>
    <w:rsid w:val="00754EC7"/>
    <w:rsid w:val="00756578"/>
    <w:rsid w:val="0076068D"/>
    <w:rsid w:val="0076085F"/>
    <w:rsid w:val="00760E10"/>
    <w:rsid w:val="00762A65"/>
    <w:rsid w:val="00763477"/>
    <w:rsid w:val="00765C57"/>
    <w:rsid w:val="007707C1"/>
    <w:rsid w:val="00770A8E"/>
    <w:rsid w:val="00770ACA"/>
    <w:rsid w:val="00771C4D"/>
    <w:rsid w:val="0077231F"/>
    <w:rsid w:val="007726DD"/>
    <w:rsid w:val="00772B94"/>
    <w:rsid w:val="00773518"/>
    <w:rsid w:val="0077421A"/>
    <w:rsid w:val="00774C85"/>
    <w:rsid w:val="007750D0"/>
    <w:rsid w:val="0077583F"/>
    <w:rsid w:val="0077692C"/>
    <w:rsid w:val="00777669"/>
    <w:rsid w:val="00777FBD"/>
    <w:rsid w:val="00781488"/>
    <w:rsid w:val="00781B89"/>
    <w:rsid w:val="00781D7D"/>
    <w:rsid w:val="00781F6E"/>
    <w:rsid w:val="00783C5C"/>
    <w:rsid w:val="007863CC"/>
    <w:rsid w:val="007900FA"/>
    <w:rsid w:val="00791398"/>
    <w:rsid w:val="0079335B"/>
    <w:rsid w:val="00794873"/>
    <w:rsid w:val="00794C59"/>
    <w:rsid w:val="0079519D"/>
    <w:rsid w:val="0079531D"/>
    <w:rsid w:val="00796A26"/>
    <w:rsid w:val="00796FA7"/>
    <w:rsid w:val="00797D16"/>
    <w:rsid w:val="00797F67"/>
    <w:rsid w:val="007A07FF"/>
    <w:rsid w:val="007A210F"/>
    <w:rsid w:val="007A27B7"/>
    <w:rsid w:val="007A2977"/>
    <w:rsid w:val="007A2FBD"/>
    <w:rsid w:val="007A3105"/>
    <w:rsid w:val="007A33A1"/>
    <w:rsid w:val="007A357F"/>
    <w:rsid w:val="007A3B66"/>
    <w:rsid w:val="007A4075"/>
    <w:rsid w:val="007A4281"/>
    <w:rsid w:val="007A44D4"/>
    <w:rsid w:val="007A4832"/>
    <w:rsid w:val="007A56B3"/>
    <w:rsid w:val="007A5C3E"/>
    <w:rsid w:val="007A6CA9"/>
    <w:rsid w:val="007A6F11"/>
    <w:rsid w:val="007A7135"/>
    <w:rsid w:val="007A7C7C"/>
    <w:rsid w:val="007B040A"/>
    <w:rsid w:val="007B143E"/>
    <w:rsid w:val="007B1D85"/>
    <w:rsid w:val="007B2E29"/>
    <w:rsid w:val="007B3025"/>
    <w:rsid w:val="007B4349"/>
    <w:rsid w:val="007B499C"/>
    <w:rsid w:val="007B4C9E"/>
    <w:rsid w:val="007B6070"/>
    <w:rsid w:val="007B77F0"/>
    <w:rsid w:val="007C0740"/>
    <w:rsid w:val="007C434C"/>
    <w:rsid w:val="007C5014"/>
    <w:rsid w:val="007C5170"/>
    <w:rsid w:val="007C59D5"/>
    <w:rsid w:val="007C644A"/>
    <w:rsid w:val="007C66F7"/>
    <w:rsid w:val="007C6D3A"/>
    <w:rsid w:val="007C7C84"/>
    <w:rsid w:val="007D109D"/>
    <w:rsid w:val="007D1B03"/>
    <w:rsid w:val="007D233E"/>
    <w:rsid w:val="007D2BE6"/>
    <w:rsid w:val="007D4113"/>
    <w:rsid w:val="007D51B3"/>
    <w:rsid w:val="007D52C1"/>
    <w:rsid w:val="007D6320"/>
    <w:rsid w:val="007D6D81"/>
    <w:rsid w:val="007E0DBD"/>
    <w:rsid w:val="007E2C31"/>
    <w:rsid w:val="007E3ABB"/>
    <w:rsid w:val="007E3D25"/>
    <w:rsid w:val="007E3EA8"/>
    <w:rsid w:val="007E40AE"/>
    <w:rsid w:val="007E4143"/>
    <w:rsid w:val="007E42FF"/>
    <w:rsid w:val="007E5B09"/>
    <w:rsid w:val="007E69BF"/>
    <w:rsid w:val="007E7E25"/>
    <w:rsid w:val="007F0328"/>
    <w:rsid w:val="007F1666"/>
    <w:rsid w:val="007F3FBE"/>
    <w:rsid w:val="007F40DB"/>
    <w:rsid w:val="007F490D"/>
    <w:rsid w:val="007F4997"/>
    <w:rsid w:val="007F5030"/>
    <w:rsid w:val="007F55C8"/>
    <w:rsid w:val="007F5E48"/>
    <w:rsid w:val="007F6337"/>
    <w:rsid w:val="007F7909"/>
    <w:rsid w:val="007F7E16"/>
    <w:rsid w:val="0080102E"/>
    <w:rsid w:val="008018A8"/>
    <w:rsid w:val="00803FD4"/>
    <w:rsid w:val="00804899"/>
    <w:rsid w:val="00810B6F"/>
    <w:rsid w:val="00811167"/>
    <w:rsid w:val="00812A46"/>
    <w:rsid w:val="00812BA0"/>
    <w:rsid w:val="008133A5"/>
    <w:rsid w:val="008177FA"/>
    <w:rsid w:val="00817B71"/>
    <w:rsid w:val="00817EC0"/>
    <w:rsid w:val="00820FAF"/>
    <w:rsid w:val="00822507"/>
    <w:rsid w:val="00823E6A"/>
    <w:rsid w:val="00825287"/>
    <w:rsid w:val="0082556C"/>
    <w:rsid w:val="00825CEB"/>
    <w:rsid w:val="00825EB8"/>
    <w:rsid w:val="008265F4"/>
    <w:rsid w:val="00826715"/>
    <w:rsid w:val="00826848"/>
    <w:rsid w:val="0082789A"/>
    <w:rsid w:val="00827E95"/>
    <w:rsid w:val="00831695"/>
    <w:rsid w:val="00832852"/>
    <w:rsid w:val="00833143"/>
    <w:rsid w:val="00834097"/>
    <w:rsid w:val="008348BB"/>
    <w:rsid w:val="008353D5"/>
    <w:rsid w:val="008357FE"/>
    <w:rsid w:val="0083656E"/>
    <w:rsid w:val="00837080"/>
    <w:rsid w:val="008373CB"/>
    <w:rsid w:val="00837857"/>
    <w:rsid w:val="00837F5F"/>
    <w:rsid w:val="00840363"/>
    <w:rsid w:val="008412EA"/>
    <w:rsid w:val="00841694"/>
    <w:rsid w:val="008426F3"/>
    <w:rsid w:val="00842C11"/>
    <w:rsid w:val="00844E63"/>
    <w:rsid w:val="008450CB"/>
    <w:rsid w:val="00850589"/>
    <w:rsid w:val="008513A7"/>
    <w:rsid w:val="008513B1"/>
    <w:rsid w:val="00852DB9"/>
    <w:rsid w:val="00853858"/>
    <w:rsid w:val="0085455C"/>
    <w:rsid w:val="00854F36"/>
    <w:rsid w:val="008550CD"/>
    <w:rsid w:val="008556AF"/>
    <w:rsid w:val="00855E3F"/>
    <w:rsid w:val="008603DB"/>
    <w:rsid w:val="0086072B"/>
    <w:rsid w:val="008627A2"/>
    <w:rsid w:val="008632B5"/>
    <w:rsid w:val="008632E5"/>
    <w:rsid w:val="008636E5"/>
    <w:rsid w:val="00863F66"/>
    <w:rsid w:val="008645D1"/>
    <w:rsid w:val="00864861"/>
    <w:rsid w:val="00864FBE"/>
    <w:rsid w:val="00865F34"/>
    <w:rsid w:val="00867254"/>
    <w:rsid w:val="008672C7"/>
    <w:rsid w:val="008674AE"/>
    <w:rsid w:val="0086771C"/>
    <w:rsid w:val="00873001"/>
    <w:rsid w:val="00873AAD"/>
    <w:rsid w:val="00880A91"/>
    <w:rsid w:val="00880B56"/>
    <w:rsid w:val="00880C6B"/>
    <w:rsid w:val="0088398F"/>
    <w:rsid w:val="00883A3E"/>
    <w:rsid w:val="00885607"/>
    <w:rsid w:val="00886188"/>
    <w:rsid w:val="008871F1"/>
    <w:rsid w:val="00887573"/>
    <w:rsid w:val="00887A36"/>
    <w:rsid w:val="00890511"/>
    <w:rsid w:val="00890BA3"/>
    <w:rsid w:val="00892C7E"/>
    <w:rsid w:val="00893B9B"/>
    <w:rsid w:val="00893CC8"/>
    <w:rsid w:val="0089429E"/>
    <w:rsid w:val="0089443D"/>
    <w:rsid w:val="00895430"/>
    <w:rsid w:val="00895E29"/>
    <w:rsid w:val="00896616"/>
    <w:rsid w:val="008A0134"/>
    <w:rsid w:val="008A146B"/>
    <w:rsid w:val="008A187A"/>
    <w:rsid w:val="008A1A24"/>
    <w:rsid w:val="008A248E"/>
    <w:rsid w:val="008A354A"/>
    <w:rsid w:val="008A3C2E"/>
    <w:rsid w:val="008A40FF"/>
    <w:rsid w:val="008A42D8"/>
    <w:rsid w:val="008A48FD"/>
    <w:rsid w:val="008A4B9B"/>
    <w:rsid w:val="008A62C9"/>
    <w:rsid w:val="008A661F"/>
    <w:rsid w:val="008A6CCB"/>
    <w:rsid w:val="008A70D2"/>
    <w:rsid w:val="008A7976"/>
    <w:rsid w:val="008B0225"/>
    <w:rsid w:val="008B0634"/>
    <w:rsid w:val="008B0C71"/>
    <w:rsid w:val="008B2AFE"/>
    <w:rsid w:val="008B3412"/>
    <w:rsid w:val="008B498D"/>
    <w:rsid w:val="008B512F"/>
    <w:rsid w:val="008B5400"/>
    <w:rsid w:val="008C0F5A"/>
    <w:rsid w:val="008C19E3"/>
    <w:rsid w:val="008C38B3"/>
    <w:rsid w:val="008C38BE"/>
    <w:rsid w:val="008C3A55"/>
    <w:rsid w:val="008C3A5D"/>
    <w:rsid w:val="008C458E"/>
    <w:rsid w:val="008C7A51"/>
    <w:rsid w:val="008C7B1E"/>
    <w:rsid w:val="008D08F6"/>
    <w:rsid w:val="008D1CB5"/>
    <w:rsid w:val="008D1CE7"/>
    <w:rsid w:val="008D1F3E"/>
    <w:rsid w:val="008D3C4D"/>
    <w:rsid w:val="008D40F1"/>
    <w:rsid w:val="008D49B3"/>
    <w:rsid w:val="008D535C"/>
    <w:rsid w:val="008D7A7B"/>
    <w:rsid w:val="008D7B4C"/>
    <w:rsid w:val="008E1448"/>
    <w:rsid w:val="008E1541"/>
    <w:rsid w:val="008E179C"/>
    <w:rsid w:val="008E3616"/>
    <w:rsid w:val="008E3DDE"/>
    <w:rsid w:val="008E50CA"/>
    <w:rsid w:val="008E52DD"/>
    <w:rsid w:val="008E555F"/>
    <w:rsid w:val="008E6B75"/>
    <w:rsid w:val="008E6E22"/>
    <w:rsid w:val="008E6E81"/>
    <w:rsid w:val="008E6FAD"/>
    <w:rsid w:val="008F0319"/>
    <w:rsid w:val="008F0824"/>
    <w:rsid w:val="008F0B87"/>
    <w:rsid w:val="008F0CF8"/>
    <w:rsid w:val="008F12C5"/>
    <w:rsid w:val="008F293A"/>
    <w:rsid w:val="008F2B36"/>
    <w:rsid w:val="008F3060"/>
    <w:rsid w:val="008F61E1"/>
    <w:rsid w:val="008F6E2D"/>
    <w:rsid w:val="008F7800"/>
    <w:rsid w:val="008F7BFC"/>
    <w:rsid w:val="009000D8"/>
    <w:rsid w:val="009014AF"/>
    <w:rsid w:val="009025B2"/>
    <w:rsid w:val="00903CA3"/>
    <w:rsid w:val="00904071"/>
    <w:rsid w:val="0090413A"/>
    <w:rsid w:val="00905BF6"/>
    <w:rsid w:val="00906268"/>
    <w:rsid w:val="00906916"/>
    <w:rsid w:val="00906A89"/>
    <w:rsid w:val="00906EFA"/>
    <w:rsid w:val="00910E0C"/>
    <w:rsid w:val="00911164"/>
    <w:rsid w:val="0091121F"/>
    <w:rsid w:val="009117F6"/>
    <w:rsid w:val="009121B8"/>
    <w:rsid w:val="009127B0"/>
    <w:rsid w:val="00912CD7"/>
    <w:rsid w:val="0091425D"/>
    <w:rsid w:val="0091480E"/>
    <w:rsid w:val="00914A8B"/>
    <w:rsid w:val="00915097"/>
    <w:rsid w:val="00915560"/>
    <w:rsid w:val="009158D8"/>
    <w:rsid w:val="00922517"/>
    <w:rsid w:val="00922983"/>
    <w:rsid w:val="009244F8"/>
    <w:rsid w:val="009250E3"/>
    <w:rsid w:val="00925E5E"/>
    <w:rsid w:val="00926D74"/>
    <w:rsid w:val="00927310"/>
    <w:rsid w:val="00927E82"/>
    <w:rsid w:val="00930295"/>
    <w:rsid w:val="00930D16"/>
    <w:rsid w:val="00933F3F"/>
    <w:rsid w:val="0093404C"/>
    <w:rsid w:val="00935C73"/>
    <w:rsid w:val="00936060"/>
    <w:rsid w:val="00936504"/>
    <w:rsid w:val="009366E8"/>
    <w:rsid w:val="00937529"/>
    <w:rsid w:val="00937852"/>
    <w:rsid w:val="0094350A"/>
    <w:rsid w:val="00943551"/>
    <w:rsid w:val="009438CD"/>
    <w:rsid w:val="00944939"/>
    <w:rsid w:val="00946491"/>
    <w:rsid w:val="00946CD0"/>
    <w:rsid w:val="00946D9F"/>
    <w:rsid w:val="00947D19"/>
    <w:rsid w:val="00952A1D"/>
    <w:rsid w:val="00954233"/>
    <w:rsid w:val="009556F8"/>
    <w:rsid w:val="00955B8A"/>
    <w:rsid w:val="00960101"/>
    <w:rsid w:val="00960104"/>
    <w:rsid w:val="009608C6"/>
    <w:rsid w:val="00960A4D"/>
    <w:rsid w:val="009618EA"/>
    <w:rsid w:val="00961CA3"/>
    <w:rsid w:val="00961D23"/>
    <w:rsid w:val="009626D6"/>
    <w:rsid w:val="00964092"/>
    <w:rsid w:val="00964F20"/>
    <w:rsid w:val="009658C4"/>
    <w:rsid w:val="00966519"/>
    <w:rsid w:val="00967C17"/>
    <w:rsid w:val="009704F8"/>
    <w:rsid w:val="0097096A"/>
    <w:rsid w:val="00972A04"/>
    <w:rsid w:val="00973CB6"/>
    <w:rsid w:val="009751C9"/>
    <w:rsid w:val="009779FB"/>
    <w:rsid w:val="009800F9"/>
    <w:rsid w:val="00980135"/>
    <w:rsid w:val="0098041F"/>
    <w:rsid w:val="00980E5E"/>
    <w:rsid w:val="00982928"/>
    <w:rsid w:val="00984691"/>
    <w:rsid w:val="0098539B"/>
    <w:rsid w:val="00985F35"/>
    <w:rsid w:val="00985F9B"/>
    <w:rsid w:val="0098693E"/>
    <w:rsid w:val="009869D9"/>
    <w:rsid w:val="00987425"/>
    <w:rsid w:val="009905C7"/>
    <w:rsid w:val="00990EBE"/>
    <w:rsid w:val="00991392"/>
    <w:rsid w:val="0099218D"/>
    <w:rsid w:val="00992312"/>
    <w:rsid w:val="00993059"/>
    <w:rsid w:val="00993DFB"/>
    <w:rsid w:val="009948E3"/>
    <w:rsid w:val="00994992"/>
    <w:rsid w:val="00994C17"/>
    <w:rsid w:val="00995854"/>
    <w:rsid w:val="009963DC"/>
    <w:rsid w:val="009974ED"/>
    <w:rsid w:val="0099783D"/>
    <w:rsid w:val="009A0402"/>
    <w:rsid w:val="009A0D71"/>
    <w:rsid w:val="009A150B"/>
    <w:rsid w:val="009A1C52"/>
    <w:rsid w:val="009A2389"/>
    <w:rsid w:val="009A28EF"/>
    <w:rsid w:val="009A2D7D"/>
    <w:rsid w:val="009A3983"/>
    <w:rsid w:val="009A4B3A"/>
    <w:rsid w:val="009A6985"/>
    <w:rsid w:val="009A7341"/>
    <w:rsid w:val="009A7B0A"/>
    <w:rsid w:val="009A7D6F"/>
    <w:rsid w:val="009A7EAB"/>
    <w:rsid w:val="009B14E2"/>
    <w:rsid w:val="009B1E4A"/>
    <w:rsid w:val="009B29D3"/>
    <w:rsid w:val="009B2CA3"/>
    <w:rsid w:val="009B2CB5"/>
    <w:rsid w:val="009B393C"/>
    <w:rsid w:val="009B3B3D"/>
    <w:rsid w:val="009B4411"/>
    <w:rsid w:val="009B4727"/>
    <w:rsid w:val="009B4D7F"/>
    <w:rsid w:val="009B5452"/>
    <w:rsid w:val="009B5760"/>
    <w:rsid w:val="009B5AB2"/>
    <w:rsid w:val="009B5FC7"/>
    <w:rsid w:val="009C09FE"/>
    <w:rsid w:val="009C0F06"/>
    <w:rsid w:val="009C304F"/>
    <w:rsid w:val="009C48B5"/>
    <w:rsid w:val="009C4BBA"/>
    <w:rsid w:val="009C7D24"/>
    <w:rsid w:val="009D1386"/>
    <w:rsid w:val="009D2060"/>
    <w:rsid w:val="009D24ED"/>
    <w:rsid w:val="009D279B"/>
    <w:rsid w:val="009D2FD6"/>
    <w:rsid w:val="009D3049"/>
    <w:rsid w:val="009D358A"/>
    <w:rsid w:val="009D3F80"/>
    <w:rsid w:val="009D4075"/>
    <w:rsid w:val="009D4378"/>
    <w:rsid w:val="009D44AB"/>
    <w:rsid w:val="009D4759"/>
    <w:rsid w:val="009D47FB"/>
    <w:rsid w:val="009D5059"/>
    <w:rsid w:val="009D5414"/>
    <w:rsid w:val="009D5449"/>
    <w:rsid w:val="009D5508"/>
    <w:rsid w:val="009D5E17"/>
    <w:rsid w:val="009D5E4F"/>
    <w:rsid w:val="009D6ECF"/>
    <w:rsid w:val="009D77BB"/>
    <w:rsid w:val="009E0BCD"/>
    <w:rsid w:val="009E0E18"/>
    <w:rsid w:val="009E160B"/>
    <w:rsid w:val="009E28AF"/>
    <w:rsid w:val="009E4433"/>
    <w:rsid w:val="009E62A8"/>
    <w:rsid w:val="009E6486"/>
    <w:rsid w:val="009E6517"/>
    <w:rsid w:val="009E688A"/>
    <w:rsid w:val="009E7494"/>
    <w:rsid w:val="009E7840"/>
    <w:rsid w:val="009E7EB1"/>
    <w:rsid w:val="009F2AD7"/>
    <w:rsid w:val="009F43A1"/>
    <w:rsid w:val="009F5178"/>
    <w:rsid w:val="009F52A4"/>
    <w:rsid w:val="009F57E3"/>
    <w:rsid w:val="009F5A7C"/>
    <w:rsid w:val="009F7541"/>
    <w:rsid w:val="009F7C32"/>
    <w:rsid w:val="00A0070D"/>
    <w:rsid w:val="00A00946"/>
    <w:rsid w:val="00A00B7E"/>
    <w:rsid w:val="00A02999"/>
    <w:rsid w:val="00A034F3"/>
    <w:rsid w:val="00A0503C"/>
    <w:rsid w:val="00A05C92"/>
    <w:rsid w:val="00A06305"/>
    <w:rsid w:val="00A06B5A"/>
    <w:rsid w:val="00A06CCF"/>
    <w:rsid w:val="00A10354"/>
    <w:rsid w:val="00A1086A"/>
    <w:rsid w:val="00A10F60"/>
    <w:rsid w:val="00A1120E"/>
    <w:rsid w:val="00A11613"/>
    <w:rsid w:val="00A1166C"/>
    <w:rsid w:val="00A11860"/>
    <w:rsid w:val="00A13760"/>
    <w:rsid w:val="00A13A1D"/>
    <w:rsid w:val="00A146A0"/>
    <w:rsid w:val="00A14FB8"/>
    <w:rsid w:val="00A17F61"/>
    <w:rsid w:val="00A21547"/>
    <w:rsid w:val="00A21FBB"/>
    <w:rsid w:val="00A24F5F"/>
    <w:rsid w:val="00A25AF5"/>
    <w:rsid w:val="00A263F2"/>
    <w:rsid w:val="00A26609"/>
    <w:rsid w:val="00A26641"/>
    <w:rsid w:val="00A26E72"/>
    <w:rsid w:val="00A27322"/>
    <w:rsid w:val="00A27567"/>
    <w:rsid w:val="00A27A44"/>
    <w:rsid w:val="00A32073"/>
    <w:rsid w:val="00A330CC"/>
    <w:rsid w:val="00A340EE"/>
    <w:rsid w:val="00A342BB"/>
    <w:rsid w:val="00A3442A"/>
    <w:rsid w:val="00A34BEB"/>
    <w:rsid w:val="00A34E31"/>
    <w:rsid w:val="00A34F71"/>
    <w:rsid w:val="00A35A94"/>
    <w:rsid w:val="00A35D6B"/>
    <w:rsid w:val="00A3799A"/>
    <w:rsid w:val="00A40488"/>
    <w:rsid w:val="00A40DA3"/>
    <w:rsid w:val="00A41446"/>
    <w:rsid w:val="00A4188A"/>
    <w:rsid w:val="00A41969"/>
    <w:rsid w:val="00A41F34"/>
    <w:rsid w:val="00A43052"/>
    <w:rsid w:val="00A44435"/>
    <w:rsid w:val="00A44BBC"/>
    <w:rsid w:val="00A45682"/>
    <w:rsid w:val="00A46349"/>
    <w:rsid w:val="00A50306"/>
    <w:rsid w:val="00A50D10"/>
    <w:rsid w:val="00A51D09"/>
    <w:rsid w:val="00A51FA6"/>
    <w:rsid w:val="00A52E9E"/>
    <w:rsid w:val="00A53C72"/>
    <w:rsid w:val="00A53E51"/>
    <w:rsid w:val="00A55E9E"/>
    <w:rsid w:val="00A60096"/>
    <w:rsid w:val="00A614CB"/>
    <w:rsid w:val="00A61DA7"/>
    <w:rsid w:val="00A62CC5"/>
    <w:rsid w:val="00A637A7"/>
    <w:rsid w:val="00A63F41"/>
    <w:rsid w:val="00A64170"/>
    <w:rsid w:val="00A64FCD"/>
    <w:rsid w:val="00A65CE2"/>
    <w:rsid w:val="00A66117"/>
    <w:rsid w:val="00A6658B"/>
    <w:rsid w:val="00A66A38"/>
    <w:rsid w:val="00A66A91"/>
    <w:rsid w:val="00A71304"/>
    <w:rsid w:val="00A7152A"/>
    <w:rsid w:val="00A7204F"/>
    <w:rsid w:val="00A735FB"/>
    <w:rsid w:val="00A73B7A"/>
    <w:rsid w:val="00A744EE"/>
    <w:rsid w:val="00A7503B"/>
    <w:rsid w:val="00A751B8"/>
    <w:rsid w:val="00A77B56"/>
    <w:rsid w:val="00A77EE7"/>
    <w:rsid w:val="00A8108D"/>
    <w:rsid w:val="00A81A6C"/>
    <w:rsid w:val="00A81D0A"/>
    <w:rsid w:val="00A82450"/>
    <w:rsid w:val="00A82E8D"/>
    <w:rsid w:val="00A84E1B"/>
    <w:rsid w:val="00A85AF5"/>
    <w:rsid w:val="00A90414"/>
    <w:rsid w:val="00A90C7F"/>
    <w:rsid w:val="00A912DF"/>
    <w:rsid w:val="00A93546"/>
    <w:rsid w:val="00A94041"/>
    <w:rsid w:val="00A94291"/>
    <w:rsid w:val="00A94654"/>
    <w:rsid w:val="00A957DF"/>
    <w:rsid w:val="00A9580C"/>
    <w:rsid w:val="00A97C54"/>
    <w:rsid w:val="00AA02CC"/>
    <w:rsid w:val="00AA0B02"/>
    <w:rsid w:val="00AA0B22"/>
    <w:rsid w:val="00AA133C"/>
    <w:rsid w:val="00AA3BB4"/>
    <w:rsid w:val="00AA5C4F"/>
    <w:rsid w:val="00AA603F"/>
    <w:rsid w:val="00AA76F6"/>
    <w:rsid w:val="00AA7A54"/>
    <w:rsid w:val="00AA7E88"/>
    <w:rsid w:val="00AB1191"/>
    <w:rsid w:val="00AB135E"/>
    <w:rsid w:val="00AB1521"/>
    <w:rsid w:val="00AB155F"/>
    <w:rsid w:val="00AB1D3C"/>
    <w:rsid w:val="00AB2A54"/>
    <w:rsid w:val="00AB3AF3"/>
    <w:rsid w:val="00AB3CD7"/>
    <w:rsid w:val="00AB4865"/>
    <w:rsid w:val="00AB513E"/>
    <w:rsid w:val="00AB5565"/>
    <w:rsid w:val="00AB56CD"/>
    <w:rsid w:val="00AB63C2"/>
    <w:rsid w:val="00AB669F"/>
    <w:rsid w:val="00AC0D1C"/>
    <w:rsid w:val="00AC2868"/>
    <w:rsid w:val="00AC3604"/>
    <w:rsid w:val="00AC37FD"/>
    <w:rsid w:val="00AC39D1"/>
    <w:rsid w:val="00AC4429"/>
    <w:rsid w:val="00AC5445"/>
    <w:rsid w:val="00AC688D"/>
    <w:rsid w:val="00AC7A1C"/>
    <w:rsid w:val="00AC7E5C"/>
    <w:rsid w:val="00AD05F5"/>
    <w:rsid w:val="00AD12BF"/>
    <w:rsid w:val="00AD1AF4"/>
    <w:rsid w:val="00AD3020"/>
    <w:rsid w:val="00AD3C33"/>
    <w:rsid w:val="00AD4118"/>
    <w:rsid w:val="00AD547C"/>
    <w:rsid w:val="00AD54EE"/>
    <w:rsid w:val="00AD5A77"/>
    <w:rsid w:val="00AD78F3"/>
    <w:rsid w:val="00AD7A17"/>
    <w:rsid w:val="00AD7C70"/>
    <w:rsid w:val="00AE0186"/>
    <w:rsid w:val="00AE1EA4"/>
    <w:rsid w:val="00AE2D59"/>
    <w:rsid w:val="00AE30B6"/>
    <w:rsid w:val="00AE37F8"/>
    <w:rsid w:val="00AE5748"/>
    <w:rsid w:val="00AE58CC"/>
    <w:rsid w:val="00AE5DD2"/>
    <w:rsid w:val="00AE61E7"/>
    <w:rsid w:val="00AF06D3"/>
    <w:rsid w:val="00AF1BAE"/>
    <w:rsid w:val="00AF1D7D"/>
    <w:rsid w:val="00AF32F6"/>
    <w:rsid w:val="00AF37D8"/>
    <w:rsid w:val="00AF39FB"/>
    <w:rsid w:val="00AF3A24"/>
    <w:rsid w:val="00AF402F"/>
    <w:rsid w:val="00AF422B"/>
    <w:rsid w:val="00AF4AA8"/>
    <w:rsid w:val="00AF599A"/>
    <w:rsid w:val="00AF621B"/>
    <w:rsid w:val="00AF63DC"/>
    <w:rsid w:val="00AF6E57"/>
    <w:rsid w:val="00AF7093"/>
    <w:rsid w:val="00AF7289"/>
    <w:rsid w:val="00AF73C5"/>
    <w:rsid w:val="00AF7993"/>
    <w:rsid w:val="00AF7E66"/>
    <w:rsid w:val="00AF7FB9"/>
    <w:rsid w:val="00B0097B"/>
    <w:rsid w:val="00B00C92"/>
    <w:rsid w:val="00B01140"/>
    <w:rsid w:val="00B03675"/>
    <w:rsid w:val="00B068C1"/>
    <w:rsid w:val="00B06CC0"/>
    <w:rsid w:val="00B06EC1"/>
    <w:rsid w:val="00B10663"/>
    <w:rsid w:val="00B10CA3"/>
    <w:rsid w:val="00B10E8F"/>
    <w:rsid w:val="00B1103D"/>
    <w:rsid w:val="00B11073"/>
    <w:rsid w:val="00B13DC0"/>
    <w:rsid w:val="00B143B8"/>
    <w:rsid w:val="00B16D77"/>
    <w:rsid w:val="00B17600"/>
    <w:rsid w:val="00B17A02"/>
    <w:rsid w:val="00B23044"/>
    <w:rsid w:val="00B24EB9"/>
    <w:rsid w:val="00B25D57"/>
    <w:rsid w:val="00B27BBB"/>
    <w:rsid w:val="00B30F93"/>
    <w:rsid w:val="00B358C1"/>
    <w:rsid w:val="00B35C07"/>
    <w:rsid w:val="00B36137"/>
    <w:rsid w:val="00B3630F"/>
    <w:rsid w:val="00B371C2"/>
    <w:rsid w:val="00B41EA5"/>
    <w:rsid w:val="00B43606"/>
    <w:rsid w:val="00B4381C"/>
    <w:rsid w:val="00B43AEC"/>
    <w:rsid w:val="00B4429E"/>
    <w:rsid w:val="00B4471A"/>
    <w:rsid w:val="00B44D14"/>
    <w:rsid w:val="00B456D5"/>
    <w:rsid w:val="00B4619E"/>
    <w:rsid w:val="00B47906"/>
    <w:rsid w:val="00B509B3"/>
    <w:rsid w:val="00B53838"/>
    <w:rsid w:val="00B5418E"/>
    <w:rsid w:val="00B60476"/>
    <w:rsid w:val="00B6106C"/>
    <w:rsid w:val="00B6149A"/>
    <w:rsid w:val="00B61F9A"/>
    <w:rsid w:val="00B6202C"/>
    <w:rsid w:val="00B62AFF"/>
    <w:rsid w:val="00B62C4D"/>
    <w:rsid w:val="00B65389"/>
    <w:rsid w:val="00B65AD1"/>
    <w:rsid w:val="00B66433"/>
    <w:rsid w:val="00B66495"/>
    <w:rsid w:val="00B70808"/>
    <w:rsid w:val="00B712F6"/>
    <w:rsid w:val="00B7279C"/>
    <w:rsid w:val="00B72C75"/>
    <w:rsid w:val="00B7330E"/>
    <w:rsid w:val="00B73428"/>
    <w:rsid w:val="00B739A1"/>
    <w:rsid w:val="00B73E28"/>
    <w:rsid w:val="00B74659"/>
    <w:rsid w:val="00B7467B"/>
    <w:rsid w:val="00B750C4"/>
    <w:rsid w:val="00B750CB"/>
    <w:rsid w:val="00B75215"/>
    <w:rsid w:val="00B752F6"/>
    <w:rsid w:val="00B764A0"/>
    <w:rsid w:val="00B76D24"/>
    <w:rsid w:val="00B77C3D"/>
    <w:rsid w:val="00B77E52"/>
    <w:rsid w:val="00B812BC"/>
    <w:rsid w:val="00B82191"/>
    <w:rsid w:val="00B83CF9"/>
    <w:rsid w:val="00B85094"/>
    <w:rsid w:val="00B85096"/>
    <w:rsid w:val="00B86094"/>
    <w:rsid w:val="00B87690"/>
    <w:rsid w:val="00B90F9F"/>
    <w:rsid w:val="00B917B3"/>
    <w:rsid w:val="00B94F3F"/>
    <w:rsid w:val="00B955A8"/>
    <w:rsid w:val="00B977DC"/>
    <w:rsid w:val="00BA055D"/>
    <w:rsid w:val="00BA0D67"/>
    <w:rsid w:val="00BA207F"/>
    <w:rsid w:val="00BA37A1"/>
    <w:rsid w:val="00BA41BE"/>
    <w:rsid w:val="00BA5940"/>
    <w:rsid w:val="00BA6866"/>
    <w:rsid w:val="00BA7659"/>
    <w:rsid w:val="00BA77BA"/>
    <w:rsid w:val="00BB062C"/>
    <w:rsid w:val="00BB0E17"/>
    <w:rsid w:val="00BB1285"/>
    <w:rsid w:val="00BB2D6E"/>
    <w:rsid w:val="00BB2DB0"/>
    <w:rsid w:val="00BB3095"/>
    <w:rsid w:val="00BB4A19"/>
    <w:rsid w:val="00BB4D93"/>
    <w:rsid w:val="00BB595B"/>
    <w:rsid w:val="00BB6482"/>
    <w:rsid w:val="00BB67BE"/>
    <w:rsid w:val="00BB74C6"/>
    <w:rsid w:val="00BC045B"/>
    <w:rsid w:val="00BC0E59"/>
    <w:rsid w:val="00BC0E89"/>
    <w:rsid w:val="00BC307B"/>
    <w:rsid w:val="00BC34A2"/>
    <w:rsid w:val="00BC46D5"/>
    <w:rsid w:val="00BC5477"/>
    <w:rsid w:val="00BC5BD6"/>
    <w:rsid w:val="00BC6095"/>
    <w:rsid w:val="00BC63E2"/>
    <w:rsid w:val="00BC6529"/>
    <w:rsid w:val="00BC6587"/>
    <w:rsid w:val="00BD02F3"/>
    <w:rsid w:val="00BD22EC"/>
    <w:rsid w:val="00BD3087"/>
    <w:rsid w:val="00BD34C8"/>
    <w:rsid w:val="00BD41E1"/>
    <w:rsid w:val="00BD4487"/>
    <w:rsid w:val="00BD4BD3"/>
    <w:rsid w:val="00BD622B"/>
    <w:rsid w:val="00BD643A"/>
    <w:rsid w:val="00BD789C"/>
    <w:rsid w:val="00BE08B8"/>
    <w:rsid w:val="00BE0B81"/>
    <w:rsid w:val="00BE0D07"/>
    <w:rsid w:val="00BE283B"/>
    <w:rsid w:val="00BE3121"/>
    <w:rsid w:val="00BE41C4"/>
    <w:rsid w:val="00BE43F3"/>
    <w:rsid w:val="00BE44CB"/>
    <w:rsid w:val="00BE5347"/>
    <w:rsid w:val="00BE56E0"/>
    <w:rsid w:val="00BE5705"/>
    <w:rsid w:val="00BE57CB"/>
    <w:rsid w:val="00BE6F4D"/>
    <w:rsid w:val="00BE7F45"/>
    <w:rsid w:val="00BF0F70"/>
    <w:rsid w:val="00BF0FE1"/>
    <w:rsid w:val="00BF3DC8"/>
    <w:rsid w:val="00BF40AC"/>
    <w:rsid w:val="00BF4303"/>
    <w:rsid w:val="00BF5428"/>
    <w:rsid w:val="00BF70B6"/>
    <w:rsid w:val="00BF7C1D"/>
    <w:rsid w:val="00BF7E8B"/>
    <w:rsid w:val="00C019E5"/>
    <w:rsid w:val="00C02107"/>
    <w:rsid w:val="00C0323E"/>
    <w:rsid w:val="00C037A3"/>
    <w:rsid w:val="00C03994"/>
    <w:rsid w:val="00C03D6E"/>
    <w:rsid w:val="00C0425D"/>
    <w:rsid w:val="00C04ED9"/>
    <w:rsid w:val="00C050B9"/>
    <w:rsid w:val="00C05C4B"/>
    <w:rsid w:val="00C10967"/>
    <w:rsid w:val="00C1155A"/>
    <w:rsid w:val="00C133EF"/>
    <w:rsid w:val="00C1340B"/>
    <w:rsid w:val="00C1473B"/>
    <w:rsid w:val="00C1540B"/>
    <w:rsid w:val="00C159DD"/>
    <w:rsid w:val="00C163E5"/>
    <w:rsid w:val="00C172F6"/>
    <w:rsid w:val="00C17D24"/>
    <w:rsid w:val="00C214BA"/>
    <w:rsid w:val="00C21A04"/>
    <w:rsid w:val="00C22B76"/>
    <w:rsid w:val="00C236E2"/>
    <w:rsid w:val="00C241E4"/>
    <w:rsid w:val="00C247B1"/>
    <w:rsid w:val="00C25325"/>
    <w:rsid w:val="00C26A72"/>
    <w:rsid w:val="00C26E5D"/>
    <w:rsid w:val="00C27AC6"/>
    <w:rsid w:val="00C300C3"/>
    <w:rsid w:val="00C30D1B"/>
    <w:rsid w:val="00C31697"/>
    <w:rsid w:val="00C323FD"/>
    <w:rsid w:val="00C32820"/>
    <w:rsid w:val="00C34756"/>
    <w:rsid w:val="00C3498B"/>
    <w:rsid w:val="00C34C06"/>
    <w:rsid w:val="00C3545C"/>
    <w:rsid w:val="00C3610E"/>
    <w:rsid w:val="00C36159"/>
    <w:rsid w:val="00C36D68"/>
    <w:rsid w:val="00C36F0E"/>
    <w:rsid w:val="00C37C26"/>
    <w:rsid w:val="00C406AE"/>
    <w:rsid w:val="00C43A71"/>
    <w:rsid w:val="00C445DE"/>
    <w:rsid w:val="00C44686"/>
    <w:rsid w:val="00C45324"/>
    <w:rsid w:val="00C45B5E"/>
    <w:rsid w:val="00C4710D"/>
    <w:rsid w:val="00C47A4A"/>
    <w:rsid w:val="00C515DD"/>
    <w:rsid w:val="00C51E09"/>
    <w:rsid w:val="00C54ED4"/>
    <w:rsid w:val="00C551A7"/>
    <w:rsid w:val="00C55A70"/>
    <w:rsid w:val="00C56B26"/>
    <w:rsid w:val="00C5702F"/>
    <w:rsid w:val="00C5712B"/>
    <w:rsid w:val="00C6117E"/>
    <w:rsid w:val="00C611C6"/>
    <w:rsid w:val="00C615F2"/>
    <w:rsid w:val="00C61F7F"/>
    <w:rsid w:val="00C623A9"/>
    <w:rsid w:val="00C6246B"/>
    <w:rsid w:val="00C62D56"/>
    <w:rsid w:val="00C6339E"/>
    <w:rsid w:val="00C63A06"/>
    <w:rsid w:val="00C6402D"/>
    <w:rsid w:val="00C65159"/>
    <w:rsid w:val="00C65174"/>
    <w:rsid w:val="00C66D32"/>
    <w:rsid w:val="00C71502"/>
    <w:rsid w:val="00C717A3"/>
    <w:rsid w:val="00C728FA"/>
    <w:rsid w:val="00C72B75"/>
    <w:rsid w:val="00C74241"/>
    <w:rsid w:val="00C74D7D"/>
    <w:rsid w:val="00C75283"/>
    <w:rsid w:val="00C76EB6"/>
    <w:rsid w:val="00C80C12"/>
    <w:rsid w:val="00C8143B"/>
    <w:rsid w:val="00C8192F"/>
    <w:rsid w:val="00C82299"/>
    <w:rsid w:val="00C82EA1"/>
    <w:rsid w:val="00C832F6"/>
    <w:rsid w:val="00C83540"/>
    <w:rsid w:val="00C848F7"/>
    <w:rsid w:val="00C84B94"/>
    <w:rsid w:val="00C84DD5"/>
    <w:rsid w:val="00C86D8F"/>
    <w:rsid w:val="00C86F69"/>
    <w:rsid w:val="00C87FBB"/>
    <w:rsid w:val="00C90348"/>
    <w:rsid w:val="00C907B8"/>
    <w:rsid w:val="00C9080D"/>
    <w:rsid w:val="00C918DB"/>
    <w:rsid w:val="00C91B96"/>
    <w:rsid w:val="00C93ADE"/>
    <w:rsid w:val="00C93CEA"/>
    <w:rsid w:val="00C94418"/>
    <w:rsid w:val="00C94BEF"/>
    <w:rsid w:val="00C9554A"/>
    <w:rsid w:val="00C969E4"/>
    <w:rsid w:val="00C975A6"/>
    <w:rsid w:val="00CA059F"/>
    <w:rsid w:val="00CA0940"/>
    <w:rsid w:val="00CA2727"/>
    <w:rsid w:val="00CA2CCD"/>
    <w:rsid w:val="00CA2F1E"/>
    <w:rsid w:val="00CA3437"/>
    <w:rsid w:val="00CA4030"/>
    <w:rsid w:val="00CA40F2"/>
    <w:rsid w:val="00CA424F"/>
    <w:rsid w:val="00CA426D"/>
    <w:rsid w:val="00CA55E8"/>
    <w:rsid w:val="00CA5E71"/>
    <w:rsid w:val="00CA720E"/>
    <w:rsid w:val="00CB1F59"/>
    <w:rsid w:val="00CB2DDA"/>
    <w:rsid w:val="00CB3075"/>
    <w:rsid w:val="00CB3093"/>
    <w:rsid w:val="00CB7FBB"/>
    <w:rsid w:val="00CC07A9"/>
    <w:rsid w:val="00CC1070"/>
    <w:rsid w:val="00CC1458"/>
    <w:rsid w:val="00CC179F"/>
    <w:rsid w:val="00CC2883"/>
    <w:rsid w:val="00CC3C9C"/>
    <w:rsid w:val="00CC3FF0"/>
    <w:rsid w:val="00CC45E5"/>
    <w:rsid w:val="00CC5019"/>
    <w:rsid w:val="00CC57E3"/>
    <w:rsid w:val="00CC7702"/>
    <w:rsid w:val="00CC774F"/>
    <w:rsid w:val="00CD067E"/>
    <w:rsid w:val="00CD07E1"/>
    <w:rsid w:val="00CD1B18"/>
    <w:rsid w:val="00CD226E"/>
    <w:rsid w:val="00CD261A"/>
    <w:rsid w:val="00CD26CF"/>
    <w:rsid w:val="00CD28BF"/>
    <w:rsid w:val="00CD5DE4"/>
    <w:rsid w:val="00CD6C37"/>
    <w:rsid w:val="00CD712F"/>
    <w:rsid w:val="00CD73AF"/>
    <w:rsid w:val="00CD79D5"/>
    <w:rsid w:val="00CD7CB2"/>
    <w:rsid w:val="00CE1C8A"/>
    <w:rsid w:val="00CE2435"/>
    <w:rsid w:val="00CE25AE"/>
    <w:rsid w:val="00CE2A33"/>
    <w:rsid w:val="00CE34FB"/>
    <w:rsid w:val="00CE355A"/>
    <w:rsid w:val="00CE3D7E"/>
    <w:rsid w:val="00CE415F"/>
    <w:rsid w:val="00CE4302"/>
    <w:rsid w:val="00CE57B3"/>
    <w:rsid w:val="00CE6C08"/>
    <w:rsid w:val="00CE6C95"/>
    <w:rsid w:val="00CE7352"/>
    <w:rsid w:val="00CF0339"/>
    <w:rsid w:val="00CF0775"/>
    <w:rsid w:val="00CF1F40"/>
    <w:rsid w:val="00CF21C3"/>
    <w:rsid w:val="00CF2988"/>
    <w:rsid w:val="00CF2BFD"/>
    <w:rsid w:val="00CF2D3E"/>
    <w:rsid w:val="00CF4353"/>
    <w:rsid w:val="00CF5956"/>
    <w:rsid w:val="00CF5ED1"/>
    <w:rsid w:val="00CF6534"/>
    <w:rsid w:val="00CF6B07"/>
    <w:rsid w:val="00CF6C63"/>
    <w:rsid w:val="00CF74FB"/>
    <w:rsid w:val="00D00006"/>
    <w:rsid w:val="00D00353"/>
    <w:rsid w:val="00D00424"/>
    <w:rsid w:val="00D015EB"/>
    <w:rsid w:val="00D0163E"/>
    <w:rsid w:val="00D01E14"/>
    <w:rsid w:val="00D02501"/>
    <w:rsid w:val="00D03069"/>
    <w:rsid w:val="00D06300"/>
    <w:rsid w:val="00D06B0F"/>
    <w:rsid w:val="00D07A7A"/>
    <w:rsid w:val="00D11347"/>
    <w:rsid w:val="00D11804"/>
    <w:rsid w:val="00D11E61"/>
    <w:rsid w:val="00D1227C"/>
    <w:rsid w:val="00D13742"/>
    <w:rsid w:val="00D13979"/>
    <w:rsid w:val="00D139A2"/>
    <w:rsid w:val="00D13C68"/>
    <w:rsid w:val="00D13F71"/>
    <w:rsid w:val="00D155D0"/>
    <w:rsid w:val="00D162AB"/>
    <w:rsid w:val="00D206A4"/>
    <w:rsid w:val="00D206F7"/>
    <w:rsid w:val="00D21C44"/>
    <w:rsid w:val="00D22EB1"/>
    <w:rsid w:val="00D234F8"/>
    <w:rsid w:val="00D255F3"/>
    <w:rsid w:val="00D25CEC"/>
    <w:rsid w:val="00D273A4"/>
    <w:rsid w:val="00D307B1"/>
    <w:rsid w:val="00D30FFB"/>
    <w:rsid w:val="00D33030"/>
    <w:rsid w:val="00D3523E"/>
    <w:rsid w:val="00D352A4"/>
    <w:rsid w:val="00D36194"/>
    <w:rsid w:val="00D36E1D"/>
    <w:rsid w:val="00D37974"/>
    <w:rsid w:val="00D37FC5"/>
    <w:rsid w:val="00D40FBC"/>
    <w:rsid w:val="00D41C36"/>
    <w:rsid w:val="00D4223B"/>
    <w:rsid w:val="00D433F5"/>
    <w:rsid w:val="00D4611B"/>
    <w:rsid w:val="00D46266"/>
    <w:rsid w:val="00D46621"/>
    <w:rsid w:val="00D47967"/>
    <w:rsid w:val="00D5134A"/>
    <w:rsid w:val="00D5159E"/>
    <w:rsid w:val="00D53069"/>
    <w:rsid w:val="00D53412"/>
    <w:rsid w:val="00D54F1E"/>
    <w:rsid w:val="00D6009E"/>
    <w:rsid w:val="00D60A30"/>
    <w:rsid w:val="00D6464C"/>
    <w:rsid w:val="00D64A4E"/>
    <w:rsid w:val="00D67EF4"/>
    <w:rsid w:val="00D7047F"/>
    <w:rsid w:val="00D73240"/>
    <w:rsid w:val="00D73859"/>
    <w:rsid w:val="00D73D97"/>
    <w:rsid w:val="00D73FF6"/>
    <w:rsid w:val="00D744E1"/>
    <w:rsid w:val="00D746BA"/>
    <w:rsid w:val="00D74866"/>
    <w:rsid w:val="00D750F2"/>
    <w:rsid w:val="00D763A2"/>
    <w:rsid w:val="00D77C5A"/>
    <w:rsid w:val="00D80041"/>
    <w:rsid w:val="00D800BF"/>
    <w:rsid w:val="00D808CE"/>
    <w:rsid w:val="00D813A1"/>
    <w:rsid w:val="00D81611"/>
    <w:rsid w:val="00D81D87"/>
    <w:rsid w:val="00D820B1"/>
    <w:rsid w:val="00D83539"/>
    <w:rsid w:val="00D8382B"/>
    <w:rsid w:val="00D8423F"/>
    <w:rsid w:val="00D844CE"/>
    <w:rsid w:val="00D8471D"/>
    <w:rsid w:val="00D86218"/>
    <w:rsid w:val="00D86E58"/>
    <w:rsid w:val="00D871C8"/>
    <w:rsid w:val="00D87BC6"/>
    <w:rsid w:val="00D91181"/>
    <w:rsid w:val="00D91D84"/>
    <w:rsid w:val="00D91F20"/>
    <w:rsid w:val="00D92030"/>
    <w:rsid w:val="00D92163"/>
    <w:rsid w:val="00D9385E"/>
    <w:rsid w:val="00D93D7C"/>
    <w:rsid w:val="00D94881"/>
    <w:rsid w:val="00D95438"/>
    <w:rsid w:val="00D95FA2"/>
    <w:rsid w:val="00D96B91"/>
    <w:rsid w:val="00D97403"/>
    <w:rsid w:val="00D97AEC"/>
    <w:rsid w:val="00DA0A61"/>
    <w:rsid w:val="00DA0ABC"/>
    <w:rsid w:val="00DA2CFE"/>
    <w:rsid w:val="00DA31E7"/>
    <w:rsid w:val="00DA3A88"/>
    <w:rsid w:val="00DA4F03"/>
    <w:rsid w:val="00DA58F5"/>
    <w:rsid w:val="00DA6636"/>
    <w:rsid w:val="00DA689A"/>
    <w:rsid w:val="00DB1318"/>
    <w:rsid w:val="00DB25E9"/>
    <w:rsid w:val="00DB368C"/>
    <w:rsid w:val="00DB3D97"/>
    <w:rsid w:val="00DB52DA"/>
    <w:rsid w:val="00DB6BD1"/>
    <w:rsid w:val="00DB6F99"/>
    <w:rsid w:val="00DB79AB"/>
    <w:rsid w:val="00DC0118"/>
    <w:rsid w:val="00DC07E7"/>
    <w:rsid w:val="00DC1ABF"/>
    <w:rsid w:val="00DC4074"/>
    <w:rsid w:val="00DC5996"/>
    <w:rsid w:val="00DC65F6"/>
    <w:rsid w:val="00DC672B"/>
    <w:rsid w:val="00DC7251"/>
    <w:rsid w:val="00DC7D01"/>
    <w:rsid w:val="00DD0939"/>
    <w:rsid w:val="00DD111D"/>
    <w:rsid w:val="00DD14E2"/>
    <w:rsid w:val="00DD26AD"/>
    <w:rsid w:val="00DD33B1"/>
    <w:rsid w:val="00DD47DF"/>
    <w:rsid w:val="00DD4C79"/>
    <w:rsid w:val="00DD4F2C"/>
    <w:rsid w:val="00DD79F7"/>
    <w:rsid w:val="00DE00E8"/>
    <w:rsid w:val="00DE01A7"/>
    <w:rsid w:val="00DE0A01"/>
    <w:rsid w:val="00DE0B86"/>
    <w:rsid w:val="00DE1565"/>
    <w:rsid w:val="00DE3EB1"/>
    <w:rsid w:val="00DE3F06"/>
    <w:rsid w:val="00DE4AC0"/>
    <w:rsid w:val="00DE67FE"/>
    <w:rsid w:val="00DF0007"/>
    <w:rsid w:val="00DF2928"/>
    <w:rsid w:val="00DF3593"/>
    <w:rsid w:val="00DF3687"/>
    <w:rsid w:val="00DF3BAA"/>
    <w:rsid w:val="00DF5195"/>
    <w:rsid w:val="00DF56FC"/>
    <w:rsid w:val="00DF5BD3"/>
    <w:rsid w:val="00DF5DE6"/>
    <w:rsid w:val="00DF7024"/>
    <w:rsid w:val="00DF78D5"/>
    <w:rsid w:val="00E00598"/>
    <w:rsid w:val="00E017C6"/>
    <w:rsid w:val="00E019A3"/>
    <w:rsid w:val="00E02043"/>
    <w:rsid w:val="00E03DF4"/>
    <w:rsid w:val="00E041E6"/>
    <w:rsid w:val="00E05F17"/>
    <w:rsid w:val="00E06A3C"/>
    <w:rsid w:val="00E0709A"/>
    <w:rsid w:val="00E0763C"/>
    <w:rsid w:val="00E10486"/>
    <w:rsid w:val="00E11F74"/>
    <w:rsid w:val="00E12B24"/>
    <w:rsid w:val="00E15033"/>
    <w:rsid w:val="00E15D4C"/>
    <w:rsid w:val="00E16035"/>
    <w:rsid w:val="00E174F6"/>
    <w:rsid w:val="00E20669"/>
    <w:rsid w:val="00E2094B"/>
    <w:rsid w:val="00E20F29"/>
    <w:rsid w:val="00E21027"/>
    <w:rsid w:val="00E217E9"/>
    <w:rsid w:val="00E222AC"/>
    <w:rsid w:val="00E231B5"/>
    <w:rsid w:val="00E23CA8"/>
    <w:rsid w:val="00E25FFD"/>
    <w:rsid w:val="00E270BF"/>
    <w:rsid w:val="00E2786B"/>
    <w:rsid w:val="00E27E23"/>
    <w:rsid w:val="00E3069B"/>
    <w:rsid w:val="00E30AC4"/>
    <w:rsid w:val="00E32F57"/>
    <w:rsid w:val="00E35FEB"/>
    <w:rsid w:val="00E36409"/>
    <w:rsid w:val="00E367CC"/>
    <w:rsid w:val="00E40081"/>
    <w:rsid w:val="00E409C8"/>
    <w:rsid w:val="00E40AE1"/>
    <w:rsid w:val="00E4101E"/>
    <w:rsid w:val="00E413D3"/>
    <w:rsid w:val="00E41A02"/>
    <w:rsid w:val="00E41B13"/>
    <w:rsid w:val="00E42007"/>
    <w:rsid w:val="00E423B7"/>
    <w:rsid w:val="00E425D8"/>
    <w:rsid w:val="00E42C8A"/>
    <w:rsid w:val="00E44A36"/>
    <w:rsid w:val="00E44F44"/>
    <w:rsid w:val="00E4566E"/>
    <w:rsid w:val="00E45D4B"/>
    <w:rsid w:val="00E460F6"/>
    <w:rsid w:val="00E470A9"/>
    <w:rsid w:val="00E47780"/>
    <w:rsid w:val="00E50096"/>
    <w:rsid w:val="00E50D26"/>
    <w:rsid w:val="00E51437"/>
    <w:rsid w:val="00E51A7E"/>
    <w:rsid w:val="00E51B67"/>
    <w:rsid w:val="00E51D82"/>
    <w:rsid w:val="00E51FAB"/>
    <w:rsid w:val="00E52832"/>
    <w:rsid w:val="00E52EFB"/>
    <w:rsid w:val="00E5589A"/>
    <w:rsid w:val="00E558B2"/>
    <w:rsid w:val="00E55DFB"/>
    <w:rsid w:val="00E56BF6"/>
    <w:rsid w:val="00E56C96"/>
    <w:rsid w:val="00E570A5"/>
    <w:rsid w:val="00E60343"/>
    <w:rsid w:val="00E60595"/>
    <w:rsid w:val="00E6155E"/>
    <w:rsid w:val="00E620EE"/>
    <w:rsid w:val="00E622BD"/>
    <w:rsid w:val="00E628E8"/>
    <w:rsid w:val="00E63261"/>
    <w:rsid w:val="00E64D67"/>
    <w:rsid w:val="00E653AB"/>
    <w:rsid w:val="00E65B9D"/>
    <w:rsid w:val="00E65D4E"/>
    <w:rsid w:val="00E66411"/>
    <w:rsid w:val="00E668FD"/>
    <w:rsid w:val="00E672E5"/>
    <w:rsid w:val="00E673D4"/>
    <w:rsid w:val="00E71304"/>
    <w:rsid w:val="00E715E2"/>
    <w:rsid w:val="00E71DAC"/>
    <w:rsid w:val="00E72228"/>
    <w:rsid w:val="00E726F0"/>
    <w:rsid w:val="00E7301F"/>
    <w:rsid w:val="00E7489D"/>
    <w:rsid w:val="00E74A79"/>
    <w:rsid w:val="00E75272"/>
    <w:rsid w:val="00E7528A"/>
    <w:rsid w:val="00E76362"/>
    <w:rsid w:val="00E76C93"/>
    <w:rsid w:val="00E77455"/>
    <w:rsid w:val="00E8003A"/>
    <w:rsid w:val="00E802DE"/>
    <w:rsid w:val="00E80C52"/>
    <w:rsid w:val="00E81658"/>
    <w:rsid w:val="00E81853"/>
    <w:rsid w:val="00E82BBA"/>
    <w:rsid w:val="00E82C58"/>
    <w:rsid w:val="00E84B5E"/>
    <w:rsid w:val="00E84CB1"/>
    <w:rsid w:val="00E866A6"/>
    <w:rsid w:val="00E86810"/>
    <w:rsid w:val="00E9133E"/>
    <w:rsid w:val="00E92343"/>
    <w:rsid w:val="00E93B57"/>
    <w:rsid w:val="00E93F32"/>
    <w:rsid w:val="00E94490"/>
    <w:rsid w:val="00E9530C"/>
    <w:rsid w:val="00E9566B"/>
    <w:rsid w:val="00E95B91"/>
    <w:rsid w:val="00EA0DAE"/>
    <w:rsid w:val="00EA12E5"/>
    <w:rsid w:val="00EA130A"/>
    <w:rsid w:val="00EA214D"/>
    <w:rsid w:val="00EA333D"/>
    <w:rsid w:val="00EA394C"/>
    <w:rsid w:val="00EA520E"/>
    <w:rsid w:val="00EA67A8"/>
    <w:rsid w:val="00EB1A12"/>
    <w:rsid w:val="00EB25DB"/>
    <w:rsid w:val="00EB2C26"/>
    <w:rsid w:val="00EB2DD3"/>
    <w:rsid w:val="00EB2E86"/>
    <w:rsid w:val="00EB3F93"/>
    <w:rsid w:val="00EB724A"/>
    <w:rsid w:val="00EB73AD"/>
    <w:rsid w:val="00EC004C"/>
    <w:rsid w:val="00EC09FD"/>
    <w:rsid w:val="00EC1083"/>
    <w:rsid w:val="00EC2C7A"/>
    <w:rsid w:val="00EC3985"/>
    <w:rsid w:val="00EC46A5"/>
    <w:rsid w:val="00EC4702"/>
    <w:rsid w:val="00EC58AD"/>
    <w:rsid w:val="00EC5F05"/>
    <w:rsid w:val="00EC6048"/>
    <w:rsid w:val="00ED01C6"/>
    <w:rsid w:val="00ED0D5A"/>
    <w:rsid w:val="00ED12EC"/>
    <w:rsid w:val="00ED29DA"/>
    <w:rsid w:val="00ED505A"/>
    <w:rsid w:val="00EE09A3"/>
    <w:rsid w:val="00EE0D7C"/>
    <w:rsid w:val="00EE1464"/>
    <w:rsid w:val="00EE1B65"/>
    <w:rsid w:val="00EE1F31"/>
    <w:rsid w:val="00EE318D"/>
    <w:rsid w:val="00EE3F08"/>
    <w:rsid w:val="00EE5318"/>
    <w:rsid w:val="00EE61F6"/>
    <w:rsid w:val="00EE6ACF"/>
    <w:rsid w:val="00EE6E8A"/>
    <w:rsid w:val="00EE76D6"/>
    <w:rsid w:val="00EF1674"/>
    <w:rsid w:val="00EF1745"/>
    <w:rsid w:val="00EF193E"/>
    <w:rsid w:val="00EF23FC"/>
    <w:rsid w:val="00EF27BD"/>
    <w:rsid w:val="00EF3D98"/>
    <w:rsid w:val="00EF48B4"/>
    <w:rsid w:val="00EF4EE5"/>
    <w:rsid w:val="00EF67D8"/>
    <w:rsid w:val="00EF785F"/>
    <w:rsid w:val="00F0069A"/>
    <w:rsid w:val="00F01C7E"/>
    <w:rsid w:val="00F0331D"/>
    <w:rsid w:val="00F0435F"/>
    <w:rsid w:val="00F054B7"/>
    <w:rsid w:val="00F05E4B"/>
    <w:rsid w:val="00F064D1"/>
    <w:rsid w:val="00F069E6"/>
    <w:rsid w:val="00F06A6F"/>
    <w:rsid w:val="00F070EB"/>
    <w:rsid w:val="00F071A4"/>
    <w:rsid w:val="00F07436"/>
    <w:rsid w:val="00F07A4B"/>
    <w:rsid w:val="00F10C65"/>
    <w:rsid w:val="00F10F09"/>
    <w:rsid w:val="00F11C0D"/>
    <w:rsid w:val="00F12BF5"/>
    <w:rsid w:val="00F14109"/>
    <w:rsid w:val="00F14237"/>
    <w:rsid w:val="00F1485F"/>
    <w:rsid w:val="00F14F4C"/>
    <w:rsid w:val="00F152CB"/>
    <w:rsid w:val="00F1538F"/>
    <w:rsid w:val="00F15F48"/>
    <w:rsid w:val="00F160BD"/>
    <w:rsid w:val="00F1642F"/>
    <w:rsid w:val="00F16575"/>
    <w:rsid w:val="00F16722"/>
    <w:rsid w:val="00F17D0E"/>
    <w:rsid w:val="00F2191E"/>
    <w:rsid w:val="00F22B90"/>
    <w:rsid w:val="00F22C0F"/>
    <w:rsid w:val="00F2333B"/>
    <w:rsid w:val="00F243F7"/>
    <w:rsid w:val="00F2448F"/>
    <w:rsid w:val="00F24847"/>
    <w:rsid w:val="00F24B0C"/>
    <w:rsid w:val="00F25056"/>
    <w:rsid w:val="00F251F4"/>
    <w:rsid w:val="00F2797C"/>
    <w:rsid w:val="00F30B5A"/>
    <w:rsid w:val="00F3229E"/>
    <w:rsid w:val="00F3264A"/>
    <w:rsid w:val="00F33E78"/>
    <w:rsid w:val="00F344E2"/>
    <w:rsid w:val="00F356A0"/>
    <w:rsid w:val="00F36617"/>
    <w:rsid w:val="00F366DE"/>
    <w:rsid w:val="00F36B5E"/>
    <w:rsid w:val="00F374FA"/>
    <w:rsid w:val="00F40A39"/>
    <w:rsid w:val="00F40EFA"/>
    <w:rsid w:val="00F41374"/>
    <w:rsid w:val="00F4138A"/>
    <w:rsid w:val="00F413FA"/>
    <w:rsid w:val="00F4204D"/>
    <w:rsid w:val="00F42606"/>
    <w:rsid w:val="00F42641"/>
    <w:rsid w:val="00F44D2D"/>
    <w:rsid w:val="00F45612"/>
    <w:rsid w:val="00F4565B"/>
    <w:rsid w:val="00F4571B"/>
    <w:rsid w:val="00F46C74"/>
    <w:rsid w:val="00F47BF8"/>
    <w:rsid w:val="00F512E8"/>
    <w:rsid w:val="00F53370"/>
    <w:rsid w:val="00F5361B"/>
    <w:rsid w:val="00F549AE"/>
    <w:rsid w:val="00F56E9C"/>
    <w:rsid w:val="00F61540"/>
    <w:rsid w:val="00F61BD3"/>
    <w:rsid w:val="00F6217F"/>
    <w:rsid w:val="00F628FC"/>
    <w:rsid w:val="00F62A8A"/>
    <w:rsid w:val="00F62EE1"/>
    <w:rsid w:val="00F637F6"/>
    <w:rsid w:val="00F63A62"/>
    <w:rsid w:val="00F65A2C"/>
    <w:rsid w:val="00F66A3F"/>
    <w:rsid w:val="00F67127"/>
    <w:rsid w:val="00F67567"/>
    <w:rsid w:val="00F70042"/>
    <w:rsid w:val="00F7075B"/>
    <w:rsid w:val="00F70DC2"/>
    <w:rsid w:val="00F70E8C"/>
    <w:rsid w:val="00F712B6"/>
    <w:rsid w:val="00F7142F"/>
    <w:rsid w:val="00F71A6C"/>
    <w:rsid w:val="00F71F31"/>
    <w:rsid w:val="00F72B66"/>
    <w:rsid w:val="00F72B9F"/>
    <w:rsid w:val="00F74ED2"/>
    <w:rsid w:val="00F7544A"/>
    <w:rsid w:val="00F7748A"/>
    <w:rsid w:val="00F77D1F"/>
    <w:rsid w:val="00F77DD6"/>
    <w:rsid w:val="00F8302B"/>
    <w:rsid w:val="00F84F22"/>
    <w:rsid w:val="00F8533E"/>
    <w:rsid w:val="00F86A16"/>
    <w:rsid w:val="00F87ACD"/>
    <w:rsid w:val="00F87C1C"/>
    <w:rsid w:val="00F87C72"/>
    <w:rsid w:val="00F87F60"/>
    <w:rsid w:val="00F87F9D"/>
    <w:rsid w:val="00F91162"/>
    <w:rsid w:val="00F91811"/>
    <w:rsid w:val="00F925C7"/>
    <w:rsid w:val="00F93072"/>
    <w:rsid w:val="00F934C6"/>
    <w:rsid w:val="00F94338"/>
    <w:rsid w:val="00F963AB"/>
    <w:rsid w:val="00F979EF"/>
    <w:rsid w:val="00FA00C8"/>
    <w:rsid w:val="00FA2B82"/>
    <w:rsid w:val="00FA410B"/>
    <w:rsid w:val="00FA6791"/>
    <w:rsid w:val="00FA6DBE"/>
    <w:rsid w:val="00FB0057"/>
    <w:rsid w:val="00FB07A8"/>
    <w:rsid w:val="00FB1107"/>
    <w:rsid w:val="00FB260A"/>
    <w:rsid w:val="00FB39AC"/>
    <w:rsid w:val="00FB3BDA"/>
    <w:rsid w:val="00FB3DA9"/>
    <w:rsid w:val="00FB3DAD"/>
    <w:rsid w:val="00FB4E89"/>
    <w:rsid w:val="00FB4F33"/>
    <w:rsid w:val="00FB4F98"/>
    <w:rsid w:val="00FB7C26"/>
    <w:rsid w:val="00FC0EAB"/>
    <w:rsid w:val="00FC1FEF"/>
    <w:rsid w:val="00FC3211"/>
    <w:rsid w:val="00FC3415"/>
    <w:rsid w:val="00FC3793"/>
    <w:rsid w:val="00FC3D5C"/>
    <w:rsid w:val="00FC45C1"/>
    <w:rsid w:val="00FC4768"/>
    <w:rsid w:val="00FC5B42"/>
    <w:rsid w:val="00FC5E4E"/>
    <w:rsid w:val="00FC6763"/>
    <w:rsid w:val="00FC6ABC"/>
    <w:rsid w:val="00FC6FB2"/>
    <w:rsid w:val="00FC72BF"/>
    <w:rsid w:val="00FC75A3"/>
    <w:rsid w:val="00FC7CE6"/>
    <w:rsid w:val="00FD1FE2"/>
    <w:rsid w:val="00FD3C68"/>
    <w:rsid w:val="00FD3DAE"/>
    <w:rsid w:val="00FD4470"/>
    <w:rsid w:val="00FD4511"/>
    <w:rsid w:val="00FD5B28"/>
    <w:rsid w:val="00FD685C"/>
    <w:rsid w:val="00FD7621"/>
    <w:rsid w:val="00FE017B"/>
    <w:rsid w:val="00FE1D13"/>
    <w:rsid w:val="00FE293C"/>
    <w:rsid w:val="00FE3F0C"/>
    <w:rsid w:val="00FE5157"/>
    <w:rsid w:val="00FE57E9"/>
    <w:rsid w:val="00FE5F89"/>
    <w:rsid w:val="00FE6222"/>
    <w:rsid w:val="00FE76CD"/>
    <w:rsid w:val="00FF1271"/>
    <w:rsid w:val="00FF244D"/>
    <w:rsid w:val="00FF2862"/>
    <w:rsid w:val="00FF32A7"/>
    <w:rsid w:val="00FF3DD3"/>
    <w:rsid w:val="00FF4225"/>
    <w:rsid w:val="00FF4720"/>
    <w:rsid w:val="00FF581E"/>
    <w:rsid w:val="00FF5822"/>
    <w:rsid w:val="00FF612E"/>
    <w:rsid w:val="00FF7D73"/>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C49D5"/>
  <w15:docId w15:val="{D0B6506B-407A-4391-B815-A415AB90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qFormat="1"/>
    <w:lsdException w:name="List Bullet 3" w:semiHidden="1" w:uiPriority="19" w:unhideWhenUsed="1"/>
    <w:lsdException w:name="List Bullet 4" w:semiHidden="1" w:uiPriority="19" w:unhideWhenUsed="1"/>
    <w:lsdException w:name="List Bullet 5" w:semiHidden="1" w:unhideWhenUsed="1"/>
    <w:lsdException w:name="List Number 2" w:semiHidden="1" w:uiPriority="20" w:unhideWhenUsed="1" w:qFormat="1"/>
    <w:lsdException w:name="List Number 3" w:semiHidden="1" w:uiPriority="20" w:unhideWhenUsed="1"/>
    <w:lsdException w:name="List Number 4" w:semiHidden="1" w:uiPriority="20" w:unhideWhenUsed="1"/>
    <w:lsdException w:name="List Number 5" w:semiHidden="1" w:uiPriority="20"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37"/>
    <w:rPr>
      <w:sz w:val="22"/>
      <w:lang w:val="en-GB"/>
    </w:rPr>
  </w:style>
  <w:style w:type="paragraph" w:styleId="Heading1">
    <w:name w:val="heading 1"/>
    <w:next w:val="Normal"/>
    <w:link w:val="Heading1Char"/>
    <w:uiPriority w:val="9"/>
    <w:qFormat/>
    <w:rsid w:val="002A3967"/>
    <w:pPr>
      <w:keepNext/>
      <w:keepLines/>
      <w:pageBreakBefore/>
      <w:widowControl w:val="0"/>
      <w:numPr>
        <w:numId w:val="1"/>
      </w:numPr>
      <w:suppressAutoHyphens/>
      <w:spacing w:before="240"/>
      <w:ind w:firstLine="0"/>
      <w:outlineLvl w:val="0"/>
    </w:pPr>
    <w:rPr>
      <w:rFonts w:cs="Arial"/>
      <w:b/>
      <w:bCs/>
      <w:color w:val="009EC2" w:themeColor="text2"/>
      <w:kern w:val="32"/>
      <w:sz w:val="36"/>
      <w:szCs w:val="32"/>
    </w:rPr>
  </w:style>
  <w:style w:type="paragraph" w:styleId="Heading2">
    <w:name w:val="heading 2"/>
    <w:basedOn w:val="Heading1"/>
    <w:next w:val="Normal"/>
    <w:link w:val="Heading2Char"/>
    <w:uiPriority w:val="9"/>
    <w:qFormat/>
    <w:rsid w:val="00395CD7"/>
    <w:pPr>
      <w:pageBreakBefore w:val="0"/>
      <w:numPr>
        <w:ilvl w:val="1"/>
      </w:numPr>
      <w:spacing w:before="480"/>
      <w:ind w:left="1138" w:hanging="1138"/>
      <w:outlineLvl w:val="1"/>
    </w:pPr>
    <w:rPr>
      <w:sz w:val="28"/>
    </w:rPr>
  </w:style>
  <w:style w:type="paragraph" w:styleId="Heading3">
    <w:name w:val="heading 3"/>
    <w:basedOn w:val="Heading2"/>
    <w:next w:val="Normal"/>
    <w:link w:val="Heading3Char"/>
    <w:uiPriority w:val="9"/>
    <w:qFormat/>
    <w:rsid w:val="00A27322"/>
    <w:pPr>
      <w:numPr>
        <w:ilvl w:val="2"/>
      </w:numPr>
      <w:tabs>
        <w:tab w:val="num" w:pos="0"/>
      </w:tabs>
      <w:spacing w:before="240"/>
      <w:outlineLvl w:val="2"/>
    </w:pPr>
    <w:rPr>
      <w:sz w:val="24"/>
      <w:szCs w:val="24"/>
    </w:rPr>
  </w:style>
  <w:style w:type="paragraph" w:styleId="Heading4">
    <w:name w:val="heading 4"/>
    <w:basedOn w:val="Heading1"/>
    <w:next w:val="Normal"/>
    <w:link w:val="Heading4Char"/>
    <w:uiPriority w:val="9"/>
    <w:qFormat/>
    <w:rsid w:val="00183F80"/>
    <w:pPr>
      <w:pageBreakBefore w:val="0"/>
      <w:numPr>
        <w:numId w:val="8"/>
      </w:numPr>
      <w:autoSpaceDE w:val="0"/>
      <w:autoSpaceDN w:val="0"/>
      <w:adjustRightInd w:val="0"/>
      <w:spacing w:before="120" w:line="240" w:lineRule="atLeast"/>
      <w:ind w:left="360"/>
      <w:outlineLvl w:val="3"/>
    </w:pPr>
    <w:rPr>
      <w:sz w:val="22"/>
      <w:szCs w:val="22"/>
    </w:rPr>
  </w:style>
  <w:style w:type="paragraph" w:styleId="Heading5">
    <w:name w:val="heading 5"/>
    <w:basedOn w:val="Heading4"/>
    <w:next w:val="BodyText"/>
    <w:link w:val="Heading5Char"/>
    <w:uiPriority w:val="9"/>
    <w:unhideWhenUsed/>
    <w:rsid w:val="00630413"/>
    <w:pPr>
      <w:keepNext w:val="0"/>
      <w:keepLines w:val="0"/>
      <w:widowControl/>
      <w:numPr>
        <w:numId w:val="0"/>
      </w:numPr>
      <w:suppressAutoHyphens w:val="0"/>
      <w:autoSpaceDE/>
      <w:autoSpaceDN/>
      <w:adjustRightInd/>
      <w:spacing w:line="240" w:lineRule="auto"/>
      <w:ind w:left="1296" w:hanging="1296"/>
      <w:outlineLvl w:val="4"/>
    </w:pPr>
    <w:rPr>
      <w:rFonts w:eastAsiaTheme="majorEastAsia" w:cstheme="majorBidi"/>
      <w:b w:val="0"/>
      <w:bCs w:val="0"/>
      <w:caps/>
      <w:color w:val="000000" w:themeColor="text1"/>
      <w:kern w:val="0"/>
      <w:sz w:val="24"/>
      <w:szCs w:val="24"/>
      <w:lang w:eastAsia="ja-JP"/>
    </w:rPr>
  </w:style>
  <w:style w:type="paragraph" w:styleId="Heading6">
    <w:name w:val="heading 6"/>
    <w:basedOn w:val="Heading5"/>
    <w:next w:val="BodyText"/>
    <w:link w:val="Heading6Char"/>
    <w:uiPriority w:val="9"/>
    <w:unhideWhenUsed/>
    <w:rsid w:val="00630413"/>
    <w:pPr>
      <w:ind w:left="1728" w:hanging="1728"/>
      <w:outlineLvl w:val="5"/>
    </w:pPr>
  </w:style>
  <w:style w:type="paragraph" w:styleId="Heading7">
    <w:name w:val="heading 7"/>
    <w:basedOn w:val="Heading6"/>
    <w:next w:val="BodyText"/>
    <w:link w:val="Heading7Char"/>
    <w:unhideWhenUsed/>
    <w:rsid w:val="00630413"/>
    <w:pPr>
      <w:outlineLvl w:val="6"/>
    </w:pPr>
  </w:style>
  <w:style w:type="paragraph" w:styleId="Heading8">
    <w:name w:val="heading 8"/>
    <w:basedOn w:val="Heading7"/>
    <w:next w:val="BodyText"/>
    <w:link w:val="Heading8Char"/>
    <w:unhideWhenUsed/>
    <w:rsid w:val="00630413"/>
    <w:pPr>
      <w:ind w:left="2304" w:hanging="2304"/>
      <w:outlineLvl w:val="7"/>
    </w:pPr>
  </w:style>
  <w:style w:type="paragraph" w:styleId="Heading9">
    <w:name w:val="heading 9"/>
    <w:basedOn w:val="Heading8"/>
    <w:next w:val="BodyText"/>
    <w:link w:val="Heading9Char"/>
    <w:unhideWhenUsed/>
    <w:rsid w:val="006304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uiPriority w:val="99"/>
    <w:unhideWhenUsed/>
    <w:rsid w:val="00A27322"/>
    <w:pPr>
      <w:numPr>
        <w:numId w:val="2"/>
      </w:numPr>
    </w:pPr>
    <w:rPr>
      <w:b/>
      <w:color w:val="000000"/>
    </w:rPr>
  </w:style>
  <w:style w:type="paragraph" w:customStyle="1" w:styleId="Note">
    <w:name w:val="Note"/>
    <w:basedOn w:val="Normal"/>
    <w:next w:val="Normal"/>
    <w:link w:val="NoteChar"/>
    <w:uiPriority w:val="9"/>
    <w:qFormat/>
    <w:rsid w:val="00A27322"/>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F2F2F2" w:themeFill="background1" w:themeFillShade="F2"/>
      <w:tabs>
        <w:tab w:val="left" w:pos="567"/>
      </w:tabs>
      <w:ind w:left="515" w:right="72" w:hanging="414"/>
    </w:pPr>
    <w:rPr>
      <w:rFonts w:cs="Arial"/>
    </w:rPr>
  </w:style>
  <w:style w:type="character" w:customStyle="1" w:styleId="NoteChar">
    <w:name w:val="Note Char"/>
    <w:basedOn w:val="DefaultParagraphFont"/>
    <w:link w:val="Note"/>
    <w:uiPriority w:val="9"/>
    <w:rsid w:val="00A27322"/>
    <w:rPr>
      <w:rFonts w:cs="Arial"/>
      <w:shd w:val="clear" w:color="auto" w:fill="F2F2F2" w:themeFill="background1" w:themeFillShade="F2"/>
    </w:rPr>
  </w:style>
  <w:style w:type="paragraph" w:customStyle="1" w:styleId="Stem">
    <w:name w:val="Stem"/>
    <w:basedOn w:val="Normal"/>
    <w:next w:val="ListBullet"/>
    <w:link w:val="StemChar"/>
    <w:uiPriority w:val="6"/>
    <w:qFormat/>
    <w:rsid w:val="00A27322"/>
    <w:pPr>
      <w:keepNext/>
      <w:spacing w:after="0"/>
      <w:ind w:right="-6"/>
    </w:pPr>
    <w:rPr>
      <w:lang w:val="en-AU"/>
    </w:rPr>
  </w:style>
  <w:style w:type="character" w:customStyle="1" w:styleId="StemChar">
    <w:name w:val="Stem Char"/>
    <w:basedOn w:val="DefaultParagraphFont"/>
    <w:link w:val="Stem"/>
    <w:uiPriority w:val="6"/>
    <w:rsid w:val="00A27322"/>
    <w:rPr>
      <w:lang w:val="en-AU"/>
    </w:rPr>
  </w:style>
  <w:style w:type="paragraph" w:styleId="ListBullet">
    <w:name w:val="List Bullet"/>
    <w:basedOn w:val="Normal"/>
    <w:uiPriority w:val="7"/>
    <w:rsid w:val="00A27322"/>
    <w:pPr>
      <w:keepLines/>
      <w:numPr>
        <w:numId w:val="19"/>
      </w:numPr>
      <w:spacing w:before="60" w:after="60"/>
      <w:ind w:right="363"/>
    </w:pPr>
    <w:rPr>
      <w:rFonts w:cs="Arial"/>
    </w:rPr>
  </w:style>
  <w:style w:type="paragraph" w:customStyle="1" w:styleId="SmallHeading">
    <w:name w:val="Small Heading"/>
    <w:basedOn w:val="Normal"/>
    <w:next w:val="Normal"/>
    <w:uiPriority w:val="4"/>
    <w:qFormat/>
    <w:rsid w:val="00A27322"/>
    <w:pPr>
      <w:keepNext/>
      <w:spacing w:before="240"/>
    </w:pPr>
    <w:rPr>
      <w:rFonts w:cs="Arial"/>
      <w:b/>
      <w:bCs/>
      <w:color w:val="009EC2" w:themeColor="text2"/>
      <w:kern w:val="32"/>
      <w:szCs w:val="22"/>
      <w:lang w:val="en-AU"/>
    </w:rPr>
  </w:style>
  <w:style w:type="paragraph" w:customStyle="1" w:styleId="CodeBlock">
    <w:name w:val="Code Block"/>
    <w:aliases w:val="Source Code Block"/>
    <w:basedOn w:val="Normal"/>
    <w:next w:val="Normal"/>
    <w:uiPriority w:val="15"/>
    <w:rsid w:val="00A27322"/>
    <w:pPr>
      <w:pBdr>
        <w:top w:val="single" w:sz="8" w:space="4" w:color="BFBFBF" w:themeColor="background2" w:themeShade="BF"/>
        <w:left w:val="single" w:sz="8" w:space="5" w:color="BFBFBF" w:themeColor="background2" w:themeShade="BF"/>
        <w:bottom w:val="single" w:sz="8" w:space="4" w:color="BFBFBF" w:themeColor="background2" w:themeShade="BF"/>
        <w:right w:val="single" w:sz="8" w:space="4" w:color="BFBFBF" w:themeColor="background2" w:themeShade="BF"/>
      </w:pBdr>
      <w:spacing w:before="0" w:after="0" w:line="264" w:lineRule="auto"/>
      <w:ind w:left="113" w:right="74"/>
    </w:pPr>
    <w:rPr>
      <w:rFonts w:ascii="Courier New" w:hAnsi="Courier New"/>
      <w:sz w:val="16"/>
    </w:rPr>
  </w:style>
  <w:style w:type="character" w:customStyle="1" w:styleId="Code">
    <w:name w:val="Code"/>
    <w:aliases w:val="Source Code"/>
    <w:basedOn w:val="DefaultParagraphFont"/>
    <w:uiPriority w:val="14"/>
    <w:qFormat/>
    <w:rsid w:val="00A27322"/>
    <w:rPr>
      <w:rFonts w:ascii="Courier New" w:hAnsi="Courier New" w:cs="Courier New"/>
      <w:color w:val="404040" w:themeColor="text1" w:themeTint="BF"/>
      <w:sz w:val="18"/>
    </w:rPr>
  </w:style>
  <w:style w:type="character" w:customStyle="1" w:styleId="Cross-Reference">
    <w:name w:val="Cross-Reference"/>
    <w:basedOn w:val="DefaultParagraphFont"/>
    <w:uiPriority w:val="9"/>
    <w:rsid w:val="00A27322"/>
    <w:rPr>
      <w:iCs/>
      <w:color w:val="009EC2"/>
      <w:u w:val="single"/>
    </w:rPr>
  </w:style>
  <w:style w:type="paragraph" w:customStyle="1" w:styleId="Screenshot">
    <w:name w:val="Screenshot"/>
    <w:basedOn w:val="Normal"/>
    <w:uiPriority w:val="8"/>
    <w:qFormat/>
    <w:rsid w:val="00A27322"/>
    <w:pPr>
      <w:keepLines/>
      <w:spacing w:before="0" w:after="0"/>
    </w:pPr>
  </w:style>
  <w:style w:type="paragraph" w:customStyle="1" w:styleId="Appendix1">
    <w:name w:val="Appendix 1"/>
    <w:basedOn w:val="MainText"/>
    <w:next w:val="Normal"/>
    <w:link w:val="Appendix1Char"/>
    <w:uiPriority w:val="5"/>
    <w:qFormat/>
    <w:rsid w:val="005E2E6D"/>
    <w:pPr>
      <w:keepNext/>
      <w:pageBreakBefore/>
      <w:numPr>
        <w:numId w:val="29"/>
      </w:numPr>
      <w:spacing w:before="360" w:after="360" w:line="240" w:lineRule="atLeast"/>
      <w:ind w:hanging="1440"/>
      <w:outlineLvl w:val="0"/>
    </w:pPr>
    <w:rPr>
      <w:rFonts w:eastAsia="Arial Unicode MS" w:cs="Arial"/>
      <w:color w:val="009EC2" w:themeColor="text2"/>
      <w:kern w:val="28"/>
      <w:sz w:val="36"/>
      <w:szCs w:val="36"/>
      <w:lang w:val="en-AU"/>
    </w:rPr>
  </w:style>
  <w:style w:type="paragraph" w:customStyle="1" w:styleId="Appendix2">
    <w:name w:val="Appendix 2"/>
    <w:basedOn w:val="Normal"/>
    <w:next w:val="Normal"/>
    <w:uiPriority w:val="5"/>
    <w:qFormat/>
    <w:rsid w:val="00A27322"/>
    <w:pPr>
      <w:keepNext/>
      <w:keepLines/>
      <w:spacing w:before="360"/>
      <w:outlineLvl w:val="1"/>
    </w:pPr>
    <w:rPr>
      <w:rFonts w:eastAsia="Arial Unicode MS" w:cs="Arial"/>
      <w:b/>
      <w:color w:val="009EC2" w:themeColor="text2"/>
      <w:kern w:val="28"/>
      <w:sz w:val="28"/>
      <w:lang w:val="en-AU"/>
    </w:rPr>
  </w:style>
  <w:style w:type="character" w:customStyle="1" w:styleId="Heading1Char">
    <w:name w:val="Heading 1 Char"/>
    <w:basedOn w:val="DefaultParagraphFont"/>
    <w:link w:val="Heading1"/>
    <w:uiPriority w:val="9"/>
    <w:rsid w:val="002A3967"/>
    <w:rPr>
      <w:rFonts w:cs="Arial"/>
      <w:b/>
      <w:bCs/>
      <w:color w:val="009EC2" w:themeColor="text2"/>
      <w:kern w:val="32"/>
      <w:sz w:val="36"/>
      <w:szCs w:val="32"/>
    </w:rPr>
  </w:style>
  <w:style w:type="character" w:customStyle="1" w:styleId="Heading2Char">
    <w:name w:val="Heading 2 Char"/>
    <w:basedOn w:val="DefaultParagraphFont"/>
    <w:link w:val="Heading2"/>
    <w:uiPriority w:val="9"/>
    <w:rsid w:val="00395CD7"/>
    <w:rPr>
      <w:rFonts w:cs="Arial"/>
      <w:b/>
      <w:bCs/>
      <w:color w:val="009EC2" w:themeColor="text2"/>
      <w:kern w:val="32"/>
      <w:sz w:val="28"/>
      <w:szCs w:val="32"/>
    </w:rPr>
  </w:style>
  <w:style w:type="character" w:customStyle="1" w:styleId="Heading3Char">
    <w:name w:val="Heading 3 Char"/>
    <w:basedOn w:val="DefaultParagraphFont"/>
    <w:link w:val="Heading3"/>
    <w:uiPriority w:val="9"/>
    <w:rsid w:val="00A27322"/>
    <w:rPr>
      <w:rFonts w:cs="Arial"/>
      <w:b/>
      <w:bCs/>
      <w:color w:val="009EC2" w:themeColor="text2"/>
      <w:kern w:val="32"/>
      <w:sz w:val="24"/>
      <w:szCs w:val="24"/>
    </w:rPr>
  </w:style>
  <w:style w:type="character" w:customStyle="1" w:styleId="Heading4Char">
    <w:name w:val="Heading 4 Char"/>
    <w:basedOn w:val="DefaultParagraphFont"/>
    <w:link w:val="Heading4"/>
    <w:uiPriority w:val="9"/>
    <w:rsid w:val="00183F80"/>
    <w:rPr>
      <w:rFonts w:cs="Arial"/>
      <w:b/>
      <w:bCs/>
      <w:color w:val="009EC2" w:themeColor="text2"/>
      <w:kern w:val="32"/>
      <w:sz w:val="22"/>
      <w:szCs w:val="22"/>
    </w:rPr>
  </w:style>
  <w:style w:type="paragraph" w:styleId="Caption">
    <w:name w:val="caption"/>
    <w:basedOn w:val="Normal"/>
    <w:next w:val="Normal"/>
    <w:qFormat/>
    <w:rsid w:val="00C34C06"/>
    <w:pPr>
      <w:keepNext/>
      <w:keepLines/>
      <w:suppressAutoHyphens/>
      <w:spacing w:line="240" w:lineRule="auto"/>
      <w:ind w:right="363"/>
    </w:pPr>
    <w:rPr>
      <w:b/>
      <w:bCs/>
      <w:i/>
      <w:color w:val="000000" w:themeColor="text1"/>
      <w:lang w:val="en-AU"/>
    </w:rPr>
  </w:style>
  <w:style w:type="paragraph" w:styleId="ListNumber">
    <w:name w:val="List Number"/>
    <w:uiPriority w:val="20"/>
    <w:qFormat/>
    <w:rsid w:val="006137BB"/>
    <w:pPr>
      <w:numPr>
        <w:numId w:val="16"/>
      </w:numPr>
      <w:spacing w:before="0" w:after="80"/>
    </w:pPr>
    <w:rPr>
      <w:rFonts w:asciiTheme="minorHAnsi" w:eastAsiaTheme="minorEastAsia" w:hAnsiTheme="minorHAnsi" w:cstheme="minorBidi"/>
      <w:sz w:val="22"/>
      <w:szCs w:val="22"/>
      <w:lang w:eastAsia="ja-JP"/>
    </w:rPr>
  </w:style>
  <w:style w:type="character" w:styleId="Strong">
    <w:name w:val="Strong"/>
    <w:basedOn w:val="DefaultParagraphFont"/>
    <w:uiPriority w:val="5"/>
    <w:qFormat/>
    <w:rsid w:val="00A27322"/>
    <w:rPr>
      <w:b/>
      <w:bCs/>
    </w:rPr>
  </w:style>
  <w:style w:type="character" w:styleId="Emphasis">
    <w:name w:val="Emphasis"/>
    <w:basedOn w:val="DefaultParagraphFont"/>
    <w:uiPriority w:val="5"/>
    <w:rsid w:val="00A27322"/>
    <w:rPr>
      <w:i/>
      <w:iCs/>
    </w:rPr>
  </w:style>
  <w:style w:type="paragraph" w:styleId="TOCHeading">
    <w:name w:val="TOC Heading"/>
    <w:basedOn w:val="Normal"/>
    <w:next w:val="Normal"/>
    <w:link w:val="TOCHeadingChar"/>
    <w:uiPriority w:val="39"/>
    <w:unhideWhenUsed/>
    <w:qFormat/>
    <w:rsid w:val="00A27322"/>
    <w:pPr>
      <w:keepLines/>
      <w:pageBreakBefore/>
      <w:widowControl w:val="0"/>
      <w:spacing w:before="100" w:beforeAutospacing="1" w:after="480" w:line="240" w:lineRule="auto"/>
      <w:ind w:left="-1134"/>
    </w:pPr>
    <w:rPr>
      <w:color w:val="009EC2"/>
      <w:sz w:val="36"/>
      <w:szCs w:val="36"/>
    </w:rPr>
  </w:style>
  <w:style w:type="character" w:customStyle="1" w:styleId="TOCHeadingChar">
    <w:name w:val="TOC Heading Char"/>
    <w:basedOn w:val="DefaultParagraphFont"/>
    <w:link w:val="TOCHeading"/>
    <w:uiPriority w:val="33"/>
    <w:semiHidden/>
    <w:rsid w:val="00A27322"/>
    <w:rPr>
      <w:color w:val="009EC2"/>
      <w:sz w:val="36"/>
      <w:szCs w:val="36"/>
    </w:rPr>
  </w:style>
  <w:style w:type="paragraph" w:styleId="Footer">
    <w:name w:val="footer"/>
    <w:basedOn w:val="Normal"/>
    <w:link w:val="FooterChar"/>
    <w:uiPriority w:val="99"/>
    <w:semiHidden/>
    <w:rsid w:val="00A27322"/>
    <w:pPr>
      <w:tabs>
        <w:tab w:val="right" w:pos="7938"/>
      </w:tabs>
      <w:ind w:right="-8"/>
      <w:contextualSpacing/>
    </w:pPr>
    <w:rPr>
      <w:b/>
      <w:noProof/>
      <w:color w:val="009EC2" w:themeColor="text2"/>
      <w:szCs w:val="52"/>
      <w:lang w:eastAsia="en-AU"/>
    </w:rPr>
  </w:style>
  <w:style w:type="character" w:customStyle="1" w:styleId="FooterChar">
    <w:name w:val="Footer Char"/>
    <w:basedOn w:val="DefaultParagraphFont"/>
    <w:link w:val="Footer"/>
    <w:uiPriority w:val="99"/>
    <w:semiHidden/>
    <w:rsid w:val="00A27322"/>
    <w:rPr>
      <w:b/>
      <w:noProof/>
      <w:color w:val="009EC2" w:themeColor="text2"/>
      <w:szCs w:val="52"/>
      <w:lang w:eastAsia="en-AU"/>
    </w:rPr>
  </w:style>
  <w:style w:type="paragraph" w:customStyle="1" w:styleId="Category">
    <w:name w:val="Category"/>
    <w:basedOn w:val="Normal"/>
    <w:link w:val="CategoryChar"/>
    <w:autoRedefine/>
    <w:uiPriority w:val="99"/>
    <w:semiHidden/>
    <w:rsid w:val="00DA58F5"/>
    <w:pPr>
      <w:keepLines/>
      <w:suppressAutoHyphens/>
      <w:spacing w:before="480" w:after="0" w:line="360" w:lineRule="exact"/>
      <w:contextualSpacing/>
      <w:jc w:val="right"/>
    </w:pPr>
    <w:rPr>
      <w:color w:val="808080" w:themeColor="background1" w:themeShade="80"/>
      <w:sz w:val="28"/>
      <w:szCs w:val="28"/>
      <w:lang w:val="en-AU" w:eastAsia="zh-CN"/>
    </w:rPr>
  </w:style>
  <w:style w:type="paragraph" w:styleId="Title">
    <w:name w:val="Title"/>
    <w:aliases w:val="Product Name"/>
    <w:basedOn w:val="Normal"/>
    <w:next w:val="Normal"/>
    <w:link w:val="TitleChar"/>
    <w:uiPriority w:val="4"/>
    <w:rsid w:val="00A27322"/>
    <w:pPr>
      <w:keepLines/>
      <w:suppressAutoHyphens/>
      <w:spacing w:before="720" w:after="0" w:line="240" w:lineRule="auto"/>
    </w:pPr>
    <w:rPr>
      <w:color w:val="009EC2" w:themeColor="text2"/>
      <w:sz w:val="72"/>
      <w:szCs w:val="72"/>
      <w:lang w:val="en-AU" w:eastAsia="zh-CN"/>
    </w:rPr>
  </w:style>
  <w:style w:type="character" w:customStyle="1" w:styleId="TitleChar">
    <w:name w:val="Title Char"/>
    <w:aliases w:val="Product Name Char"/>
    <w:basedOn w:val="DefaultParagraphFont"/>
    <w:link w:val="Title"/>
    <w:uiPriority w:val="4"/>
    <w:rsid w:val="00A27322"/>
    <w:rPr>
      <w:color w:val="009EC2" w:themeColor="text2"/>
      <w:sz w:val="72"/>
      <w:szCs w:val="72"/>
      <w:lang w:val="en-AU" w:eastAsia="zh-CN"/>
    </w:rPr>
  </w:style>
  <w:style w:type="character" w:customStyle="1" w:styleId="CategoryChar">
    <w:name w:val="Category Char"/>
    <w:basedOn w:val="DefaultParagraphFont"/>
    <w:link w:val="Category"/>
    <w:uiPriority w:val="99"/>
    <w:semiHidden/>
    <w:rsid w:val="00DA58F5"/>
    <w:rPr>
      <w:color w:val="808080" w:themeColor="background1" w:themeShade="80"/>
      <w:sz w:val="28"/>
      <w:szCs w:val="28"/>
      <w:lang w:val="en-AU" w:eastAsia="zh-CN"/>
    </w:rPr>
  </w:style>
  <w:style w:type="paragraph" w:styleId="Header">
    <w:name w:val="header"/>
    <w:basedOn w:val="Normal"/>
    <w:link w:val="HeaderChar"/>
    <w:uiPriority w:val="99"/>
    <w:semiHidden/>
    <w:rsid w:val="00A27322"/>
    <w:pPr>
      <w:spacing w:line="240" w:lineRule="auto"/>
      <w:ind w:right="361"/>
      <w:contextualSpacing/>
      <w:jc w:val="right"/>
    </w:pPr>
    <w:rPr>
      <w:b/>
      <w:color w:val="787878"/>
      <w:lang w:eastAsia="zh-CN"/>
    </w:rPr>
  </w:style>
  <w:style w:type="character" w:customStyle="1" w:styleId="HeaderChar">
    <w:name w:val="Header Char"/>
    <w:basedOn w:val="DefaultParagraphFont"/>
    <w:link w:val="Header"/>
    <w:uiPriority w:val="99"/>
    <w:semiHidden/>
    <w:rsid w:val="00A27322"/>
    <w:rPr>
      <w:b/>
      <w:color w:val="787878"/>
      <w:lang w:eastAsia="zh-CN"/>
    </w:rPr>
  </w:style>
  <w:style w:type="paragraph" w:customStyle="1" w:styleId="Title-CustomersFullName">
    <w:name w:val="Title - Customer's Full Name"/>
    <w:uiPriority w:val="99"/>
    <w:semiHidden/>
    <w:rsid w:val="00A27322"/>
    <w:pPr>
      <w:spacing w:before="240" w:after="480"/>
    </w:pPr>
    <w:rPr>
      <w:bCs/>
      <w:color w:val="808080" w:themeColor="background1" w:themeShade="80"/>
      <w:sz w:val="36"/>
      <w:szCs w:val="32"/>
      <w:lang w:val="en-AU" w:eastAsia="zh-CN"/>
    </w:rPr>
  </w:style>
  <w:style w:type="paragraph" w:customStyle="1" w:styleId="Title-Subject">
    <w:name w:val="Title - Subject"/>
    <w:uiPriority w:val="99"/>
    <w:semiHidden/>
    <w:rsid w:val="00A27322"/>
    <w:rPr>
      <w:bCs/>
      <w:color w:val="808080" w:themeColor="background1" w:themeShade="80"/>
      <w:sz w:val="48"/>
      <w:szCs w:val="44"/>
      <w:lang w:val="en-AU" w:eastAsia="zh-CN"/>
    </w:rPr>
  </w:style>
  <w:style w:type="character" w:styleId="PlaceholderText">
    <w:name w:val="Placeholder Text"/>
    <w:uiPriority w:val="99"/>
    <w:unhideWhenUsed/>
    <w:rsid w:val="00A27322"/>
  </w:style>
  <w:style w:type="paragraph" w:customStyle="1" w:styleId="Legal">
    <w:name w:val="Legal"/>
    <w:basedOn w:val="Normal"/>
    <w:link w:val="LegalChar"/>
    <w:uiPriority w:val="99"/>
    <w:semiHidden/>
    <w:rsid w:val="00A27322"/>
    <w:pPr>
      <w:keepLines/>
      <w:widowControl w:val="0"/>
      <w:suppressAutoHyphens/>
      <w:spacing w:after="0"/>
      <w:ind w:left="-1134"/>
      <w:jc w:val="both"/>
    </w:pPr>
    <w:rPr>
      <w:color w:val="808080" w:themeColor="background1" w:themeShade="80"/>
      <w:lang w:val="en-AU"/>
    </w:rPr>
  </w:style>
  <w:style w:type="character" w:customStyle="1" w:styleId="LegalChar">
    <w:name w:val="Legal Char"/>
    <w:basedOn w:val="DefaultParagraphFont"/>
    <w:link w:val="Legal"/>
    <w:uiPriority w:val="99"/>
    <w:semiHidden/>
    <w:rsid w:val="00A27322"/>
    <w:rPr>
      <w:color w:val="808080" w:themeColor="background1" w:themeShade="80"/>
      <w:lang w:val="en-AU"/>
    </w:rPr>
  </w:style>
  <w:style w:type="table" w:customStyle="1" w:styleId="NasdaqGrey">
    <w:name w:val="NasdaqGrey"/>
    <w:basedOn w:val="TableNormal"/>
    <w:uiPriority w:val="99"/>
    <w:qFormat/>
    <w:rsid w:val="00A27322"/>
    <w:rPr>
      <w:sz w:val="18"/>
      <w:lang w:eastAsia="zh-CN"/>
    </w:rPr>
    <w:tblPr>
      <w:tblStyleRowBandSize w:val="1"/>
      <w:tblStyleColBandSize w:val="1"/>
      <w:tblInd w:w="113" w:type="dxa"/>
      <w:tblBorders>
        <w:top w:val="single" w:sz="12" w:space="0" w:color="auto"/>
        <w:bottom w:val="single" w:sz="12" w:space="0" w:color="auto"/>
        <w:insideH w:val="single" w:sz="4" w:space="0" w:color="D9D9D9" w:themeColor="background1" w:themeShade="D9"/>
        <w:insideV w:val="single" w:sz="4" w:space="0" w:color="D9D9D9" w:themeColor="background1" w:themeShade="D9"/>
      </w:tblBorders>
    </w:tblPr>
    <w:tcPr>
      <w:shd w:val="clear" w:color="auto" w:fill="FFFFFF" w:themeFill="background1"/>
    </w:tcPr>
    <w:tblStylePr w:type="firstRow">
      <w:pPr>
        <w:wordWrap/>
        <w:jc w:val="left"/>
      </w:pPr>
      <w:rPr>
        <w:rFonts w:ascii="Calibri" w:hAnsi="Calibri"/>
        <w:b/>
        <w:i w:val="0"/>
        <w:caps w:val="0"/>
        <w:smallCaps w:val="0"/>
        <w:strike w:val="0"/>
        <w:dstrike w:val="0"/>
        <w:vanish w:val="0"/>
        <w:color w:val="auto"/>
        <w:sz w:val="18"/>
        <w:u w:val="none"/>
        <w:vertAlign w:val="baseline"/>
      </w:rPr>
      <w:tblPr/>
      <w:tcPr>
        <w:tcBorders>
          <w:top w:val="single" w:sz="12" w:space="0" w:color="auto"/>
          <w:bottom w:val="single" w:sz="4" w:space="0" w:color="auto"/>
          <w:insideV w:val="single" w:sz="4" w:space="0" w:color="FFFFFF" w:themeColor="background1"/>
        </w:tcBorders>
        <w:shd w:val="clear" w:color="auto" w:fill="D9D9D9" w:themeFill="background1" w:themeFillShade="D9"/>
      </w:tcPr>
    </w:tblStylePr>
    <w:tblStylePr w:type="lastRow">
      <w:rPr>
        <w:b w:val="0"/>
        <w:i/>
      </w:rPr>
      <w:tblPr/>
      <w:tcPr>
        <w:tcBorders>
          <w:top w:val="single" w:sz="4" w:space="0" w:color="000000" w:themeColor="text1"/>
          <w:bottom w:val="single" w:sz="12" w:space="0" w:color="auto"/>
        </w:tcBorders>
        <w:shd w:val="clear" w:color="auto" w:fill="BFBFBF" w:themeFill="background1" w:themeFillShade="BF"/>
      </w:tcPr>
    </w:tblStylePr>
    <w:tblStylePr w:type="firstCol">
      <w:pPr>
        <w:wordWrap/>
        <w:jc w:val="left"/>
      </w:pPr>
      <w:rPr>
        <w:rFonts w:ascii="Calibri" w:hAnsi="Calibri"/>
        <w:b/>
        <w:i w:val="0"/>
        <w:sz w:val="18"/>
      </w:rPr>
    </w:tblStylePr>
    <w:tblStylePr w:type="lastCol">
      <w:rPr>
        <w:b w:val="0"/>
      </w:rPr>
      <w:tblPr/>
      <w:tcPr>
        <w:shd w:val="clear" w:color="auto" w:fill="BFBFBF" w:themeFill="background1" w:themeFillShade="BF"/>
      </w:tcPr>
    </w:tblStylePr>
    <w:tblStylePr w:type="band2Vert">
      <w:tblPr/>
      <w:tcPr>
        <w:shd w:val="clear" w:color="auto" w:fill="F2F2F2" w:themeFill="background1" w:themeFillShade="F2"/>
      </w:tcPr>
    </w:tblStylePr>
    <w:tblStylePr w:type="band1Horz">
      <w:rPr>
        <w:rFonts w:ascii="Calibri" w:hAnsi="Calibri"/>
        <w:b w:val="0"/>
        <w:i w:val="0"/>
        <w:color w:val="auto"/>
        <w:sz w:val="18"/>
        <w:u w:val="none"/>
      </w:rPr>
    </w:tblStylePr>
    <w:tblStylePr w:type="band2Horz">
      <w:tblPr/>
      <w:tcPr>
        <w:shd w:val="clear" w:color="auto" w:fill="F2F2F2" w:themeFill="background1" w:themeFillShade="F2"/>
      </w:tcPr>
    </w:tblStylePr>
  </w:style>
  <w:style w:type="paragraph" w:customStyle="1" w:styleId="RevisionTitles">
    <w:name w:val="Revision Titles"/>
    <w:aliases w:val="documentHistory"/>
    <w:basedOn w:val="Normal"/>
    <w:next w:val="Normal"/>
    <w:link w:val="RevisionTitlesChar"/>
    <w:uiPriority w:val="99"/>
    <w:semiHidden/>
    <w:rsid w:val="00A27322"/>
    <w:pPr>
      <w:spacing w:before="360"/>
      <w:ind w:left="-1134"/>
    </w:pPr>
    <w:rPr>
      <w:b/>
      <w:color w:val="009EC2" w:themeColor="text2"/>
      <w:sz w:val="28"/>
      <w:szCs w:val="28"/>
      <w:lang w:eastAsia="zh-CN"/>
    </w:rPr>
  </w:style>
  <w:style w:type="character" w:customStyle="1" w:styleId="RevisionTitlesChar">
    <w:name w:val="Revision Titles Char"/>
    <w:aliases w:val="documentHistory Char"/>
    <w:basedOn w:val="DefaultParagraphFont"/>
    <w:link w:val="RevisionTitles"/>
    <w:uiPriority w:val="99"/>
    <w:semiHidden/>
    <w:rsid w:val="00A27322"/>
    <w:rPr>
      <w:b/>
      <w:color w:val="009EC2" w:themeColor="text2"/>
      <w:sz w:val="28"/>
      <w:szCs w:val="28"/>
      <w:lang w:eastAsia="zh-CN"/>
    </w:rPr>
  </w:style>
  <w:style w:type="paragraph" w:customStyle="1" w:styleId="Legal-NasdaqBlue">
    <w:name w:val="Legal - Nasdaq Blue"/>
    <w:basedOn w:val="Legal"/>
    <w:uiPriority w:val="99"/>
    <w:semiHidden/>
    <w:rsid w:val="00A27322"/>
    <w:rPr>
      <w:b/>
      <w:bCs/>
      <w:color w:val="009EC2" w:themeColor="text2"/>
    </w:rPr>
  </w:style>
  <w:style w:type="paragraph" w:styleId="ListParagraph">
    <w:name w:val="List Paragraph"/>
    <w:basedOn w:val="Normal"/>
    <w:link w:val="ListParagraphChar"/>
    <w:uiPriority w:val="34"/>
    <w:qFormat/>
    <w:rsid w:val="002A3967"/>
    <w:pPr>
      <w:ind w:left="720"/>
      <w:contextualSpacing/>
    </w:pPr>
  </w:style>
  <w:style w:type="paragraph" w:styleId="TOC2">
    <w:name w:val="toc 2"/>
    <w:basedOn w:val="Normal"/>
    <w:next w:val="Normal"/>
    <w:autoRedefine/>
    <w:uiPriority w:val="39"/>
    <w:unhideWhenUsed/>
    <w:rsid w:val="00FF2862"/>
    <w:pPr>
      <w:spacing w:before="0" w:after="100" w:line="259" w:lineRule="auto"/>
      <w:ind w:left="220"/>
    </w:pPr>
    <w:rPr>
      <w:rFonts w:asciiTheme="minorHAnsi" w:eastAsiaTheme="minorEastAsia" w:hAnsiTheme="minorHAnsi"/>
      <w:szCs w:val="22"/>
    </w:rPr>
  </w:style>
  <w:style w:type="paragraph" w:styleId="TOC1">
    <w:name w:val="toc 1"/>
    <w:basedOn w:val="Normal"/>
    <w:next w:val="Normal"/>
    <w:autoRedefine/>
    <w:uiPriority w:val="39"/>
    <w:unhideWhenUsed/>
    <w:rsid w:val="00FF2862"/>
    <w:pPr>
      <w:spacing w:before="0" w:after="100" w:line="259" w:lineRule="auto"/>
    </w:pPr>
    <w:rPr>
      <w:rFonts w:asciiTheme="minorHAnsi" w:eastAsiaTheme="minorEastAsia" w:hAnsiTheme="minorHAnsi"/>
      <w:szCs w:val="22"/>
    </w:rPr>
  </w:style>
  <w:style w:type="paragraph" w:styleId="TOC3">
    <w:name w:val="toc 3"/>
    <w:basedOn w:val="Normal"/>
    <w:next w:val="Normal"/>
    <w:autoRedefine/>
    <w:uiPriority w:val="39"/>
    <w:unhideWhenUsed/>
    <w:rsid w:val="00FF2862"/>
    <w:pPr>
      <w:spacing w:before="0" w:after="100" w:line="259" w:lineRule="auto"/>
      <w:ind w:left="440"/>
    </w:pPr>
    <w:rPr>
      <w:rFonts w:asciiTheme="minorHAnsi" w:eastAsiaTheme="minorEastAsia" w:hAnsiTheme="minorHAnsi"/>
      <w:szCs w:val="22"/>
    </w:rPr>
  </w:style>
  <w:style w:type="character" w:styleId="Hyperlink">
    <w:name w:val="Hyperlink"/>
    <w:basedOn w:val="DefaultParagraphFont"/>
    <w:uiPriority w:val="99"/>
    <w:unhideWhenUsed/>
    <w:rsid w:val="00FF2862"/>
    <w:rPr>
      <w:color w:val="009EC2" w:themeColor="hyperlink"/>
      <w:u w:val="single"/>
    </w:rPr>
  </w:style>
  <w:style w:type="paragraph" w:styleId="BalloonText">
    <w:name w:val="Balloon Text"/>
    <w:basedOn w:val="Normal"/>
    <w:link w:val="BalloonTextChar"/>
    <w:uiPriority w:val="99"/>
    <w:semiHidden/>
    <w:unhideWhenUsed/>
    <w:rsid w:val="00CC770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702"/>
    <w:rPr>
      <w:rFonts w:ascii="Segoe UI" w:hAnsi="Segoe UI" w:cs="Segoe UI"/>
      <w:sz w:val="18"/>
      <w:szCs w:val="18"/>
    </w:rPr>
  </w:style>
  <w:style w:type="paragraph" w:styleId="FootnoteText">
    <w:name w:val="footnote text"/>
    <w:basedOn w:val="Normal"/>
    <w:link w:val="FootnoteTextChar"/>
    <w:unhideWhenUsed/>
    <w:rsid w:val="005A61E5"/>
    <w:pPr>
      <w:spacing w:before="0" w:after="0" w:line="240" w:lineRule="auto"/>
    </w:pPr>
    <w:rPr>
      <w:sz w:val="20"/>
    </w:rPr>
  </w:style>
  <w:style w:type="character" w:customStyle="1" w:styleId="FootnoteTextChar">
    <w:name w:val="Footnote Text Char"/>
    <w:basedOn w:val="DefaultParagraphFont"/>
    <w:link w:val="FootnoteText"/>
    <w:rsid w:val="005A61E5"/>
  </w:style>
  <w:style w:type="character" w:styleId="FootnoteReference">
    <w:name w:val="footnote reference"/>
    <w:basedOn w:val="DefaultParagraphFont"/>
    <w:unhideWhenUsed/>
    <w:rsid w:val="005A61E5"/>
    <w:rPr>
      <w:vertAlign w:val="superscript"/>
    </w:rPr>
  </w:style>
  <w:style w:type="paragraph" w:styleId="NormalWeb">
    <w:name w:val="Normal (Web)"/>
    <w:basedOn w:val="Normal"/>
    <w:uiPriority w:val="99"/>
    <w:unhideWhenUsed/>
    <w:rsid w:val="003600A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387C3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491C"/>
    <w:rPr>
      <w:sz w:val="16"/>
      <w:szCs w:val="16"/>
    </w:rPr>
  </w:style>
  <w:style w:type="paragraph" w:styleId="CommentText">
    <w:name w:val="annotation text"/>
    <w:basedOn w:val="Normal"/>
    <w:link w:val="CommentTextChar"/>
    <w:uiPriority w:val="99"/>
    <w:unhideWhenUsed/>
    <w:rsid w:val="003B491C"/>
    <w:pPr>
      <w:spacing w:line="240" w:lineRule="auto"/>
    </w:pPr>
    <w:rPr>
      <w:sz w:val="20"/>
    </w:rPr>
  </w:style>
  <w:style w:type="character" w:customStyle="1" w:styleId="CommentTextChar">
    <w:name w:val="Comment Text Char"/>
    <w:basedOn w:val="DefaultParagraphFont"/>
    <w:link w:val="CommentText"/>
    <w:uiPriority w:val="99"/>
    <w:rsid w:val="003B491C"/>
  </w:style>
  <w:style w:type="paragraph" w:styleId="CommentSubject">
    <w:name w:val="annotation subject"/>
    <w:basedOn w:val="CommentText"/>
    <w:next w:val="CommentText"/>
    <w:link w:val="CommentSubjectChar"/>
    <w:uiPriority w:val="99"/>
    <w:semiHidden/>
    <w:unhideWhenUsed/>
    <w:rsid w:val="003B491C"/>
    <w:rPr>
      <w:b/>
      <w:bCs/>
    </w:rPr>
  </w:style>
  <w:style w:type="character" w:customStyle="1" w:styleId="CommentSubjectChar">
    <w:name w:val="Comment Subject Char"/>
    <w:basedOn w:val="CommentTextChar"/>
    <w:link w:val="CommentSubject"/>
    <w:uiPriority w:val="99"/>
    <w:semiHidden/>
    <w:rsid w:val="003B491C"/>
    <w:rPr>
      <w:b/>
      <w:bCs/>
    </w:rPr>
  </w:style>
  <w:style w:type="character" w:customStyle="1" w:styleId="ListParagraphChar">
    <w:name w:val="List Paragraph Char"/>
    <w:basedOn w:val="DefaultParagraphFont"/>
    <w:link w:val="ListParagraph"/>
    <w:uiPriority w:val="34"/>
    <w:rsid w:val="0091480E"/>
    <w:rPr>
      <w:sz w:val="22"/>
    </w:rPr>
  </w:style>
  <w:style w:type="paragraph" w:styleId="BodyText">
    <w:name w:val="Body Text"/>
    <w:basedOn w:val="Normal"/>
    <w:link w:val="BodyTextChar"/>
    <w:qFormat/>
    <w:rsid w:val="00F1538F"/>
    <w:rPr>
      <w:rFonts w:cs="Calibri"/>
      <w:noProof/>
    </w:rPr>
  </w:style>
  <w:style w:type="character" w:customStyle="1" w:styleId="BodyTextChar">
    <w:name w:val="Body Text Char"/>
    <w:basedOn w:val="DefaultParagraphFont"/>
    <w:link w:val="BodyText"/>
    <w:rsid w:val="00F1538F"/>
    <w:rPr>
      <w:rFonts w:cs="Calibri"/>
      <w:noProof/>
      <w:sz w:val="22"/>
    </w:rPr>
  </w:style>
  <w:style w:type="paragraph" w:customStyle="1" w:styleId="CM1">
    <w:name w:val="CM1"/>
    <w:basedOn w:val="Normal"/>
    <w:next w:val="Normal"/>
    <w:uiPriority w:val="99"/>
    <w:rsid w:val="00B750C4"/>
    <w:pPr>
      <w:autoSpaceDE w:val="0"/>
      <w:autoSpaceDN w:val="0"/>
      <w:adjustRightInd w:val="0"/>
      <w:spacing w:before="0" w:after="0" w:line="240" w:lineRule="auto"/>
    </w:pPr>
    <w:rPr>
      <w:rFonts w:ascii="EUAlbertina" w:eastAsiaTheme="minorHAnsi" w:hAnsi="EUAlbertina" w:cstheme="minorBidi"/>
      <w:sz w:val="24"/>
      <w:szCs w:val="24"/>
    </w:rPr>
  </w:style>
  <w:style w:type="paragraph" w:customStyle="1" w:styleId="CM3">
    <w:name w:val="CM3"/>
    <w:basedOn w:val="Normal"/>
    <w:next w:val="Normal"/>
    <w:uiPriority w:val="99"/>
    <w:rsid w:val="00B750C4"/>
    <w:pPr>
      <w:autoSpaceDE w:val="0"/>
      <w:autoSpaceDN w:val="0"/>
      <w:adjustRightInd w:val="0"/>
      <w:spacing w:before="0" w:after="0" w:line="240" w:lineRule="auto"/>
    </w:pPr>
    <w:rPr>
      <w:rFonts w:ascii="EUAlbertina" w:eastAsiaTheme="minorHAnsi" w:hAnsi="EUAlbertina" w:cstheme="minorBidi"/>
      <w:sz w:val="24"/>
      <w:szCs w:val="24"/>
    </w:rPr>
  </w:style>
  <w:style w:type="paragraph" w:customStyle="1" w:styleId="CM4">
    <w:name w:val="CM4"/>
    <w:basedOn w:val="Normal"/>
    <w:next w:val="Normal"/>
    <w:uiPriority w:val="99"/>
    <w:rsid w:val="00B750C4"/>
    <w:pPr>
      <w:autoSpaceDE w:val="0"/>
      <w:autoSpaceDN w:val="0"/>
      <w:adjustRightInd w:val="0"/>
      <w:spacing w:before="0" w:after="0" w:line="240" w:lineRule="auto"/>
    </w:pPr>
    <w:rPr>
      <w:rFonts w:ascii="EUAlbertina" w:eastAsiaTheme="minorHAnsi" w:hAnsi="EUAlbertina" w:cstheme="minorBidi"/>
      <w:sz w:val="24"/>
      <w:szCs w:val="24"/>
    </w:rPr>
  </w:style>
  <w:style w:type="paragraph" w:styleId="Revision">
    <w:name w:val="Revision"/>
    <w:hidden/>
    <w:uiPriority w:val="99"/>
    <w:semiHidden/>
    <w:rsid w:val="00B750C4"/>
    <w:pPr>
      <w:spacing w:before="0" w:after="0" w:line="240" w:lineRule="auto"/>
    </w:pPr>
    <w:rPr>
      <w:sz w:val="22"/>
    </w:rPr>
  </w:style>
  <w:style w:type="character" w:styleId="FollowedHyperlink">
    <w:name w:val="FollowedHyperlink"/>
    <w:basedOn w:val="DefaultParagraphFont"/>
    <w:uiPriority w:val="99"/>
    <w:semiHidden/>
    <w:unhideWhenUsed/>
    <w:rsid w:val="00B068C1"/>
    <w:rPr>
      <w:color w:val="009EC2" w:themeColor="followedHyperlink"/>
      <w:u w:val="single"/>
    </w:rPr>
  </w:style>
  <w:style w:type="paragraph" w:customStyle="1" w:styleId="TableText">
    <w:name w:val="Table Text"/>
    <w:link w:val="TableTextChar"/>
    <w:uiPriority w:val="30"/>
    <w:qFormat/>
    <w:rsid w:val="00316837"/>
    <w:pPr>
      <w:spacing w:before="40" w:after="40" w:line="240" w:lineRule="auto"/>
    </w:pPr>
    <w:rPr>
      <w:rFonts w:asciiTheme="minorHAnsi" w:eastAsiaTheme="minorHAnsi" w:hAnsiTheme="minorHAnsi" w:cstheme="minorBidi"/>
    </w:rPr>
  </w:style>
  <w:style w:type="paragraph" w:styleId="ListBullet2">
    <w:name w:val="List Bullet 2"/>
    <w:basedOn w:val="ListBullet"/>
    <w:uiPriority w:val="19"/>
    <w:qFormat/>
    <w:rsid w:val="00563AC2"/>
    <w:pPr>
      <w:keepLines w:val="0"/>
      <w:numPr>
        <w:ilvl w:val="1"/>
      </w:numPr>
      <w:spacing w:before="0" w:after="80" w:line="240" w:lineRule="auto"/>
      <w:ind w:right="0"/>
    </w:pPr>
    <w:rPr>
      <w:rFonts w:asciiTheme="minorHAnsi" w:eastAsiaTheme="minorEastAsia" w:hAnsiTheme="minorHAnsi" w:cstheme="minorBidi"/>
      <w:szCs w:val="22"/>
      <w:lang w:eastAsia="ja-JP"/>
    </w:rPr>
  </w:style>
  <w:style w:type="character" w:customStyle="1" w:styleId="Heading5Char">
    <w:name w:val="Heading 5 Char"/>
    <w:basedOn w:val="DefaultParagraphFont"/>
    <w:link w:val="Heading5"/>
    <w:uiPriority w:val="9"/>
    <w:rsid w:val="00630413"/>
    <w:rPr>
      <w:rFonts w:eastAsiaTheme="majorEastAsia" w:cstheme="majorBidi"/>
      <w:caps/>
      <w:color w:val="000000" w:themeColor="text1"/>
      <w:sz w:val="24"/>
      <w:szCs w:val="24"/>
      <w:lang w:eastAsia="ja-JP"/>
    </w:rPr>
  </w:style>
  <w:style w:type="character" w:customStyle="1" w:styleId="Heading6Char">
    <w:name w:val="Heading 6 Char"/>
    <w:basedOn w:val="DefaultParagraphFont"/>
    <w:link w:val="Heading6"/>
    <w:uiPriority w:val="9"/>
    <w:rsid w:val="00630413"/>
    <w:rPr>
      <w:rFonts w:eastAsiaTheme="majorEastAsia" w:cstheme="majorBidi"/>
      <w:caps/>
      <w:color w:val="000000" w:themeColor="text1"/>
      <w:sz w:val="24"/>
      <w:szCs w:val="24"/>
      <w:lang w:eastAsia="ja-JP"/>
    </w:rPr>
  </w:style>
  <w:style w:type="character" w:customStyle="1" w:styleId="Heading7Char">
    <w:name w:val="Heading 7 Char"/>
    <w:basedOn w:val="DefaultParagraphFont"/>
    <w:link w:val="Heading7"/>
    <w:rsid w:val="00630413"/>
    <w:rPr>
      <w:rFonts w:eastAsiaTheme="majorEastAsia" w:cstheme="majorBidi"/>
      <w:caps/>
      <w:color w:val="000000" w:themeColor="text1"/>
      <w:sz w:val="24"/>
      <w:szCs w:val="24"/>
      <w:lang w:eastAsia="ja-JP"/>
    </w:rPr>
  </w:style>
  <w:style w:type="character" w:customStyle="1" w:styleId="Heading8Char">
    <w:name w:val="Heading 8 Char"/>
    <w:basedOn w:val="DefaultParagraphFont"/>
    <w:link w:val="Heading8"/>
    <w:rsid w:val="00630413"/>
    <w:rPr>
      <w:rFonts w:eastAsiaTheme="majorEastAsia" w:cstheme="majorBidi"/>
      <w:caps/>
      <w:color w:val="000000" w:themeColor="text1"/>
      <w:sz w:val="24"/>
      <w:szCs w:val="24"/>
      <w:lang w:eastAsia="ja-JP"/>
    </w:rPr>
  </w:style>
  <w:style w:type="character" w:customStyle="1" w:styleId="Heading9Char">
    <w:name w:val="Heading 9 Char"/>
    <w:basedOn w:val="DefaultParagraphFont"/>
    <w:link w:val="Heading9"/>
    <w:rsid w:val="00630413"/>
    <w:rPr>
      <w:rFonts w:eastAsiaTheme="majorEastAsia" w:cstheme="majorBidi"/>
      <w:caps/>
      <w:color w:val="000000" w:themeColor="text1"/>
      <w:sz w:val="24"/>
      <w:szCs w:val="24"/>
      <w:lang w:eastAsia="ja-JP"/>
    </w:rPr>
  </w:style>
  <w:style w:type="paragraph" w:customStyle="1" w:styleId="Subhead1Style">
    <w:name w:val="Subhead 1 Style"/>
    <w:basedOn w:val="Heading2"/>
    <w:next w:val="Heading2"/>
    <w:link w:val="Subhead1StyleChar"/>
    <w:autoRedefine/>
    <w:rsid w:val="00630413"/>
    <w:pPr>
      <w:keepNext w:val="0"/>
      <w:keepLines w:val="0"/>
      <w:widowControl/>
      <w:tabs>
        <w:tab w:val="clear" w:pos="1584"/>
      </w:tabs>
      <w:suppressAutoHyphens w:val="0"/>
      <w:spacing w:before="360" w:line="240" w:lineRule="auto"/>
      <w:ind w:left="540" w:hanging="540"/>
    </w:pPr>
    <w:rPr>
      <w:rFonts w:eastAsiaTheme="majorEastAsia" w:cstheme="majorBidi"/>
      <w:caps/>
      <w:noProof/>
      <w:color w:val="000000" w:themeColor="text1"/>
      <w:spacing w:val="-4"/>
      <w:kern w:val="0"/>
      <w:sz w:val="22"/>
      <w:szCs w:val="28"/>
      <w:lang w:val="en-GB"/>
    </w:rPr>
  </w:style>
  <w:style w:type="paragraph" w:customStyle="1" w:styleId="MainText">
    <w:name w:val="Main Text"/>
    <w:basedOn w:val="Normal"/>
    <w:link w:val="MainTextChar"/>
    <w:autoRedefine/>
    <w:rsid w:val="00A11860"/>
    <w:pPr>
      <w:numPr>
        <w:numId w:val="13"/>
      </w:numPr>
      <w:spacing w:before="0" w:after="200" w:line="240" w:lineRule="auto"/>
    </w:pPr>
    <w:rPr>
      <w:rFonts w:eastAsia="Arial" w:cs="Calibri"/>
      <w:noProof/>
      <w:spacing w:val="-4"/>
      <w:szCs w:val="24"/>
    </w:rPr>
  </w:style>
  <w:style w:type="paragraph" w:customStyle="1" w:styleId="QXBulletedLists">
    <w:name w:val="QX Bulleted Lists"/>
    <w:basedOn w:val="Normal"/>
    <w:rsid w:val="00630413"/>
    <w:pPr>
      <w:numPr>
        <w:numId w:val="6"/>
      </w:numPr>
      <w:spacing w:line="340" w:lineRule="atLeast"/>
    </w:pPr>
    <w:rPr>
      <w:rFonts w:ascii="Arial" w:hAnsi="Arial"/>
      <w:noProof/>
      <w:color w:val="000000"/>
      <w:spacing w:val="-4"/>
      <w:sz w:val="32"/>
      <w:lang w:eastAsia="sv-SE"/>
    </w:rPr>
  </w:style>
  <w:style w:type="numbering" w:customStyle="1" w:styleId="CurrentList1">
    <w:name w:val="Current List1"/>
    <w:rsid w:val="00630413"/>
    <w:pPr>
      <w:numPr>
        <w:numId w:val="4"/>
      </w:numPr>
    </w:pPr>
  </w:style>
  <w:style w:type="character" w:customStyle="1" w:styleId="Subhead1StyleChar">
    <w:name w:val="Subhead 1 Style Char"/>
    <w:basedOn w:val="DefaultParagraphFont"/>
    <w:link w:val="Subhead1Style"/>
    <w:rsid w:val="00630413"/>
    <w:rPr>
      <w:rFonts w:eastAsiaTheme="majorEastAsia" w:cstheme="majorBidi"/>
      <w:b/>
      <w:bCs/>
      <w:caps/>
      <w:noProof/>
      <w:color w:val="000000" w:themeColor="text1"/>
      <w:spacing w:val="-4"/>
      <w:sz w:val="22"/>
      <w:szCs w:val="28"/>
      <w:lang w:val="en-GB"/>
    </w:rPr>
  </w:style>
  <w:style w:type="numbering" w:customStyle="1" w:styleId="AppendicesList">
    <w:name w:val="Appendices List"/>
    <w:uiPriority w:val="99"/>
    <w:rsid w:val="00630413"/>
    <w:pPr>
      <w:numPr>
        <w:numId w:val="3"/>
      </w:numPr>
    </w:pPr>
  </w:style>
  <w:style w:type="numbering" w:customStyle="1" w:styleId="HeadingsList">
    <w:name w:val="Headings List"/>
    <w:uiPriority w:val="99"/>
    <w:rsid w:val="00630413"/>
    <w:pPr>
      <w:numPr>
        <w:numId w:val="5"/>
      </w:numPr>
    </w:pPr>
  </w:style>
  <w:style w:type="paragraph" w:customStyle="1" w:styleId="Bullets">
    <w:name w:val="Bullets"/>
    <w:basedOn w:val="ListParagraph"/>
    <w:qFormat/>
    <w:rsid w:val="00C34C06"/>
    <w:pPr>
      <w:numPr>
        <w:numId w:val="7"/>
      </w:numPr>
      <w:contextualSpacing w:val="0"/>
    </w:pPr>
    <w:rPr>
      <w:rFonts w:eastAsia="Arial" w:cstheme="minorBidi"/>
      <w:noProof/>
      <w:szCs w:val="22"/>
      <w:lang w:eastAsia="ja-JP"/>
    </w:rPr>
  </w:style>
  <w:style w:type="table" w:styleId="PlainTable4">
    <w:name w:val="Plain Table 4"/>
    <w:basedOn w:val="TableNormal"/>
    <w:uiPriority w:val="44"/>
    <w:rsid w:val="00C3545C"/>
    <w:pPr>
      <w:spacing w:before="0" w:after="0" w:line="240" w:lineRule="auto"/>
      <w:jc w:val="both"/>
    </w:pPr>
    <w:rPr>
      <w:rFonts w:ascii="Times New Roman" w:eastAsiaTheme="minorHAnsi" w:hAnsi="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basedOn w:val="DefaultParagraphFont"/>
    <w:link w:val="MainText"/>
    <w:rsid w:val="00A11860"/>
    <w:rPr>
      <w:rFonts w:eastAsia="Arial" w:cs="Calibri"/>
      <w:noProof/>
      <w:spacing w:val="-4"/>
      <w:sz w:val="22"/>
      <w:szCs w:val="24"/>
      <w:lang w:val="en-GB"/>
    </w:rPr>
  </w:style>
  <w:style w:type="character" w:customStyle="1" w:styleId="Appendix1Char">
    <w:name w:val="Appendix 1 Char"/>
    <w:basedOn w:val="MainTextChar"/>
    <w:link w:val="Appendix1"/>
    <w:uiPriority w:val="5"/>
    <w:rsid w:val="005E2E6D"/>
    <w:rPr>
      <w:rFonts w:eastAsia="Arial Unicode MS" w:cs="Arial"/>
      <w:noProof/>
      <w:color w:val="009EC2" w:themeColor="text2"/>
      <w:spacing w:val="-4"/>
      <w:kern w:val="28"/>
      <w:sz w:val="36"/>
      <w:szCs w:val="36"/>
      <w:lang w:val="en-AU"/>
    </w:rPr>
  </w:style>
  <w:style w:type="table" w:styleId="TableGridLight">
    <w:name w:val="Grid Table Light"/>
    <w:basedOn w:val="TableNormal"/>
    <w:uiPriority w:val="40"/>
    <w:rsid w:val="001E3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B46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B4619E"/>
    <w:rPr>
      <w:rFonts w:ascii="Courier New" w:hAnsi="Courier New" w:cs="Courier New"/>
      <w:lang w:val="en-GB" w:eastAsia="en-GB"/>
    </w:rPr>
  </w:style>
  <w:style w:type="table" w:customStyle="1" w:styleId="OWTable">
    <w:name w:val="OW Table"/>
    <w:basedOn w:val="TableNormal"/>
    <w:uiPriority w:val="99"/>
    <w:rsid w:val="007D52C1"/>
    <w:pPr>
      <w:spacing w:before="40" w:after="40" w:line="240" w:lineRule="auto"/>
    </w:pPr>
    <w:rPr>
      <w:rFonts w:asciiTheme="minorHAnsi" w:eastAsiaTheme="minorEastAsia" w:hAnsiTheme="minorHAnsi" w:cstheme="minorBidi"/>
      <w:lang w:eastAsia="ja-JP"/>
    </w:rPr>
    <w:tblPr>
      <w:tblBorders>
        <w:bottom w:val="single" w:sz="4" w:space="0" w:color="00538A" w:themeColor="accent4"/>
        <w:insideH w:val="single" w:sz="6" w:space="0" w:color="00538A" w:themeColor="accent4"/>
      </w:tblBorders>
    </w:tblPr>
    <w:tblStylePr w:type="firstRow">
      <w:pPr>
        <w:jc w:val="left"/>
      </w:pPr>
      <w:rPr>
        <w:rFonts w:asciiTheme="majorHAnsi" w:eastAsiaTheme="majorEastAsia" w:hAnsiTheme="majorHAnsi" w:cstheme="majorBidi"/>
        <w:b/>
        <w:bCs/>
        <w:i w:val="0"/>
        <w:iCs w:val="0"/>
        <w:color w:val="auto"/>
        <w:sz w:val="20"/>
      </w:rPr>
      <w:tblPr/>
      <w:tcPr>
        <w:vAlign w:val="bottom"/>
      </w:tcPr>
    </w:tblStylePr>
    <w:tblStylePr w:type="lastRow">
      <w:rPr>
        <w:b/>
        <w:bCs/>
      </w:rPr>
    </w:tblStylePr>
    <w:tblStylePr w:type="firstCol">
      <w:rPr>
        <w:b w:val="0"/>
        <w:bCs/>
      </w:rPr>
    </w:tblStylePr>
  </w:style>
  <w:style w:type="paragraph" w:styleId="ListNumber2">
    <w:name w:val="List Number 2"/>
    <w:basedOn w:val="ListNumber"/>
    <w:uiPriority w:val="20"/>
    <w:qFormat/>
    <w:rsid w:val="004E75D8"/>
    <w:pPr>
      <w:numPr>
        <w:ilvl w:val="1"/>
      </w:numPr>
    </w:pPr>
  </w:style>
  <w:style w:type="paragraph" w:styleId="ListNumber3">
    <w:name w:val="List Number 3"/>
    <w:basedOn w:val="ListBullet3"/>
    <w:uiPriority w:val="20"/>
    <w:rsid w:val="004E75D8"/>
    <w:pPr>
      <w:numPr>
        <w:numId w:val="16"/>
      </w:numPr>
    </w:pPr>
  </w:style>
  <w:style w:type="paragraph" w:styleId="ListBullet3">
    <w:name w:val="List Bullet 3"/>
    <w:basedOn w:val="ListBullet2"/>
    <w:uiPriority w:val="19"/>
    <w:rsid w:val="00563AC2"/>
    <w:pPr>
      <w:numPr>
        <w:ilvl w:val="2"/>
      </w:numPr>
    </w:pPr>
  </w:style>
  <w:style w:type="paragraph" w:styleId="ListNumber4">
    <w:name w:val="List Number 4"/>
    <w:basedOn w:val="ListNumber3"/>
    <w:uiPriority w:val="20"/>
    <w:semiHidden/>
    <w:unhideWhenUsed/>
    <w:rsid w:val="004E75D8"/>
    <w:pPr>
      <w:numPr>
        <w:ilvl w:val="3"/>
      </w:numPr>
    </w:pPr>
  </w:style>
  <w:style w:type="paragraph" w:styleId="ListNumber5">
    <w:name w:val="List Number 5"/>
    <w:basedOn w:val="ListNumber4"/>
    <w:uiPriority w:val="20"/>
    <w:semiHidden/>
    <w:unhideWhenUsed/>
    <w:rsid w:val="004E75D8"/>
    <w:pPr>
      <w:numPr>
        <w:ilvl w:val="4"/>
      </w:numPr>
    </w:pPr>
  </w:style>
  <w:style w:type="paragraph" w:customStyle="1" w:styleId="ListNumber6">
    <w:name w:val="List Number 6"/>
    <w:basedOn w:val="ListNumber5"/>
    <w:uiPriority w:val="20"/>
    <w:semiHidden/>
    <w:unhideWhenUsed/>
    <w:rsid w:val="004E75D8"/>
    <w:pPr>
      <w:numPr>
        <w:ilvl w:val="5"/>
      </w:numPr>
    </w:pPr>
  </w:style>
  <w:style w:type="paragraph" w:customStyle="1" w:styleId="ListNumber7">
    <w:name w:val="List Number 7"/>
    <w:basedOn w:val="ListNumber6"/>
    <w:uiPriority w:val="20"/>
    <w:semiHidden/>
    <w:unhideWhenUsed/>
    <w:rsid w:val="004E75D8"/>
    <w:pPr>
      <w:numPr>
        <w:ilvl w:val="6"/>
      </w:numPr>
    </w:pPr>
  </w:style>
  <w:style w:type="paragraph" w:customStyle="1" w:styleId="ListNumber8">
    <w:name w:val="List Number 8"/>
    <w:basedOn w:val="ListNumber7"/>
    <w:uiPriority w:val="20"/>
    <w:semiHidden/>
    <w:unhideWhenUsed/>
    <w:rsid w:val="004E75D8"/>
    <w:pPr>
      <w:numPr>
        <w:ilvl w:val="7"/>
      </w:numPr>
    </w:pPr>
  </w:style>
  <w:style w:type="paragraph" w:customStyle="1" w:styleId="ListNumber9">
    <w:name w:val="List Number 9"/>
    <w:basedOn w:val="ListNumber8"/>
    <w:uiPriority w:val="20"/>
    <w:semiHidden/>
    <w:unhideWhenUsed/>
    <w:rsid w:val="004E75D8"/>
    <w:pPr>
      <w:numPr>
        <w:ilvl w:val="8"/>
      </w:numPr>
    </w:pPr>
  </w:style>
  <w:style w:type="paragraph" w:customStyle="1" w:styleId="TableHeadingText">
    <w:name w:val="Table Heading Text"/>
    <w:link w:val="TableHeadingTextChar"/>
    <w:uiPriority w:val="30"/>
    <w:qFormat/>
    <w:rsid w:val="006055E0"/>
    <w:pPr>
      <w:keepLines/>
      <w:spacing w:before="40" w:after="40" w:line="240" w:lineRule="auto"/>
    </w:pPr>
    <w:rPr>
      <w:rFonts w:asciiTheme="minorHAnsi" w:eastAsiaTheme="minorHAnsi" w:hAnsiTheme="minorHAnsi" w:cstheme="minorBidi"/>
      <w:b/>
      <w:bCs/>
      <w:color w:val="FFFFFF" w:themeColor="background1"/>
      <w:szCs w:val="22"/>
    </w:rPr>
  </w:style>
  <w:style w:type="character" w:customStyle="1" w:styleId="TableHeadingTextChar">
    <w:name w:val="Table Heading Text Char"/>
    <w:basedOn w:val="DefaultParagraphFont"/>
    <w:link w:val="TableHeadingText"/>
    <w:uiPriority w:val="30"/>
    <w:rsid w:val="006055E0"/>
    <w:rPr>
      <w:rFonts w:asciiTheme="minorHAnsi" w:eastAsiaTheme="minorHAnsi" w:hAnsiTheme="minorHAnsi" w:cstheme="minorBidi"/>
      <w:b/>
      <w:bCs/>
      <w:color w:val="FFFFFF" w:themeColor="background1"/>
      <w:szCs w:val="22"/>
    </w:rPr>
  </w:style>
  <w:style w:type="paragraph" w:customStyle="1" w:styleId="TableBullet1">
    <w:name w:val="Table Bullet 1"/>
    <w:uiPriority w:val="31"/>
    <w:rsid w:val="00316837"/>
    <w:pPr>
      <w:numPr>
        <w:numId w:val="17"/>
      </w:numPr>
      <w:spacing w:before="40" w:after="40" w:line="240" w:lineRule="auto"/>
    </w:pPr>
    <w:rPr>
      <w:rFonts w:asciiTheme="minorHAnsi" w:eastAsiaTheme="minorHAnsi" w:hAnsiTheme="minorHAnsi" w:cstheme="minorBidi"/>
      <w:szCs w:val="22"/>
    </w:rPr>
  </w:style>
  <w:style w:type="paragraph" w:customStyle="1" w:styleId="TableBullet2">
    <w:name w:val="Table Bullet 2"/>
    <w:basedOn w:val="TableBullet1"/>
    <w:uiPriority w:val="31"/>
    <w:rsid w:val="00316837"/>
    <w:pPr>
      <w:numPr>
        <w:ilvl w:val="1"/>
      </w:numPr>
    </w:pPr>
  </w:style>
  <w:style w:type="paragraph" w:customStyle="1" w:styleId="TableBullet3">
    <w:name w:val="Table Bullet 3"/>
    <w:basedOn w:val="TableBullet2"/>
    <w:uiPriority w:val="31"/>
    <w:rsid w:val="00316837"/>
    <w:pPr>
      <w:numPr>
        <w:ilvl w:val="2"/>
      </w:numPr>
    </w:pPr>
  </w:style>
  <w:style w:type="paragraph" w:customStyle="1" w:styleId="TableBullet4">
    <w:name w:val="Table Bullet 4"/>
    <w:basedOn w:val="TableBullet3"/>
    <w:uiPriority w:val="31"/>
    <w:semiHidden/>
    <w:unhideWhenUsed/>
    <w:rsid w:val="00316837"/>
    <w:pPr>
      <w:numPr>
        <w:ilvl w:val="3"/>
      </w:numPr>
    </w:pPr>
  </w:style>
  <w:style w:type="paragraph" w:customStyle="1" w:styleId="TableBullet5">
    <w:name w:val="Table Bullet 5"/>
    <w:basedOn w:val="TableBullet4"/>
    <w:uiPriority w:val="31"/>
    <w:semiHidden/>
    <w:unhideWhenUsed/>
    <w:rsid w:val="00316837"/>
    <w:pPr>
      <w:numPr>
        <w:ilvl w:val="4"/>
      </w:numPr>
    </w:pPr>
  </w:style>
  <w:style w:type="character" w:customStyle="1" w:styleId="TableTextChar">
    <w:name w:val="Table Text Char"/>
    <w:basedOn w:val="DefaultParagraphFont"/>
    <w:link w:val="TableText"/>
    <w:uiPriority w:val="30"/>
    <w:rsid w:val="00316837"/>
    <w:rPr>
      <w:rFonts w:asciiTheme="minorHAnsi" w:eastAsiaTheme="minorHAnsi" w:hAnsiTheme="minorHAnsi" w:cstheme="minorBidi"/>
    </w:rPr>
  </w:style>
  <w:style w:type="paragraph" w:styleId="ListBullet4">
    <w:name w:val="List Bullet 4"/>
    <w:basedOn w:val="ListBullet3"/>
    <w:uiPriority w:val="19"/>
    <w:semiHidden/>
    <w:unhideWhenUsed/>
    <w:rsid w:val="00563AC2"/>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61">
      <w:bodyDiv w:val="1"/>
      <w:marLeft w:val="0"/>
      <w:marRight w:val="0"/>
      <w:marTop w:val="0"/>
      <w:marBottom w:val="0"/>
      <w:divBdr>
        <w:top w:val="none" w:sz="0" w:space="0" w:color="auto"/>
        <w:left w:val="none" w:sz="0" w:space="0" w:color="auto"/>
        <w:bottom w:val="none" w:sz="0" w:space="0" w:color="auto"/>
        <w:right w:val="none" w:sz="0" w:space="0" w:color="auto"/>
      </w:divBdr>
    </w:div>
    <w:div w:id="34426332">
      <w:bodyDiv w:val="1"/>
      <w:marLeft w:val="0"/>
      <w:marRight w:val="0"/>
      <w:marTop w:val="0"/>
      <w:marBottom w:val="0"/>
      <w:divBdr>
        <w:top w:val="none" w:sz="0" w:space="0" w:color="auto"/>
        <w:left w:val="none" w:sz="0" w:space="0" w:color="auto"/>
        <w:bottom w:val="none" w:sz="0" w:space="0" w:color="auto"/>
        <w:right w:val="none" w:sz="0" w:space="0" w:color="auto"/>
      </w:divBdr>
    </w:div>
    <w:div w:id="53436533">
      <w:bodyDiv w:val="1"/>
      <w:marLeft w:val="0"/>
      <w:marRight w:val="0"/>
      <w:marTop w:val="0"/>
      <w:marBottom w:val="0"/>
      <w:divBdr>
        <w:top w:val="none" w:sz="0" w:space="0" w:color="auto"/>
        <w:left w:val="none" w:sz="0" w:space="0" w:color="auto"/>
        <w:bottom w:val="none" w:sz="0" w:space="0" w:color="auto"/>
        <w:right w:val="none" w:sz="0" w:space="0" w:color="auto"/>
      </w:divBdr>
    </w:div>
    <w:div w:id="78067419">
      <w:bodyDiv w:val="1"/>
      <w:marLeft w:val="0"/>
      <w:marRight w:val="0"/>
      <w:marTop w:val="0"/>
      <w:marBottom w:val="0"/>
      <w:divBdr>
        <w:top w:val="none" w:sz="0" w:space="0" w:color="auto"/>
        <w:left w:val="none" w:sz="0" w:space="0" w:color="auto"/>
        <w:bottom w:val="none" w:sz="0" w:space="0" w:color="auto"/>
        <w:right w:val="none" w:sz="0" w:space="0" w:color="auto"/>
      </w:divBdr>
      <w:divsChild>
        <w:div w:id="232741335">
          <w:marLeft w:val="288"/>
          <w:marRight w:val="0"/>
          <w:marTop w:val="140"/>
          <w:marBottom w:val="0"/>
          <w:divBdr>
            <w:top w:val="none" w:sz="0" w:space="0" w:color="auto"/>
            <w:left w:val="none" w:sz="0" w:space="0" w:color="auto"/>
            <w:bottom w:val="none" w:sz="0" w:space="0" w:color="auto"/>
            <w:right w:val="none" w:sz="0" w:space="0" w:color="auto"/>
          </w:divBdr>
        </w:div>
        <w:div w:id="924265343">
          <w:marLeft w:val="288"/>
          <w:marRight w:val="0"/>
          <w:marTop w:val="0"/>
          <w:marBottom w:val="0"/>
          <w:divBdr>
            <w:top w:val="none" w:sz="0" w:space="0" w:color="auto"/>
            <w:left w:val="none" w:sz="0" w:space="0" w:color="auto"/>
            <w:bottom w:val="none" w:sz="0" w:space="0" w:color="auto"/>
            <w:right w:val="none" w:sz="0" w:space="0" w:color="auto"/>
          </w:divBdr>
        </w:div>
        <w:div w:id="1083601136">
          <w:marLeft w:val="288"/>
          <w:marRight w:val="0"/>
          <w:marTop w:val="0"/>
          <w:marBottom w:val="0"/>
          <w:divBdr>
            <w:top w:val="none" w:sz="0" w:space="0" w:color="auto"/>
            <w:left w:val="none" w:sz="0" w:space="0" w:color="auto"/>
            <w:bottom w:val="none" w:sz="0" w:space="0" w:color="auto"/>
            <w:right w:val="none" w:sz="0" w:space="0" w:color="auto"/>
          </w:divBdr>
        </w:div>
        <w:div w:id="1292131135">
          <w:marLeft w:val="288"/>
          <w:marRight w:val="0"/>
          <w:marTop w:val="0"/>
          <w:marBottom w:val="0"/>
          <w:divBdr>
            <w:top w:val="none" w:sz="0" w:space="0" w:color="auto"/>
            <w:left w:val="none" w:sz="0" w:space="0" w:color="auto"/>
            <w:bottom w:val="none" w:sz="0" w:space="0" w:color="auto"/>
            <w:right w:val="none" w:sz="0" w:space="0" w:color="auto"/>
          </w:divBdr>
        </w:div>
        <w:div w:id="426774442">
          <w:marLeft w:val="288"/>
          <w:marRight w:val="0"/>
          <w:marTop w:val="0"/>
          <w:marBottom w:val="0"/>
          <w:divBdr>
            <w:top w:val="none" w:sz="0" w:space="0" w:color="auto"/>
            <w:left w:val="none" w:sz="0" w:space="0" w:color="auto"/>
            <w:bottom w:val="none" w:sz="0" w:space="0" w:color="auto"/>
            <w:right w:val="none" w:sz="0" w:space="0" w:color="auto"/>
          </w:divBdr>
        </w:div>
        <w:div w:id="1972006336">
          <w:marLeft w:val="288"/>
          <w:marRight w:val="0"/>
          <w:marTop w:val="140"/>
          <w:marBottom w:val="0"/>
          <w:divBdr>
            <w:top w:val="none" w:sz="0" w:space="0" w:color="auto"/>
            <w:left w:val="none" w:sz="0" w:space="0" w:color="auto"/>
            <w:bottom w:val="none" w:sz="0" w:space="0" w:color="auto"/>
            <w:right w:val="none" w:sz="0" w:space="0" w:color="auto"/>
          </w:divBdr>
        </w:div>
        <w:div w:id="1933974840">
          <w:marLeft w:val="288"/>
          <w:marRight w:val="0"/>
          <w:marTop w:val="0"/>
          <w:marBottom w:val="0"/>
          <w:divBdr>
            <w:top w:val="none" w:sz="0" w:space="0" w:color="auto"/>
            <w:left w:val="none" w:sz="0" w:space="0" w:color="auto"/>
            <w:bottom w:val="none" w:sz="0" w:space="0" w:color="auto"/>
            <w:right w:val="none" w:sz="0" w:space="0" w:color="auto"/>
          </w:divBdr>
        </w:div>
        <w:div w:id="560554632">
          <w:marLeft w:val="288"/>
          <w:marRight w:val="0"/>
          <w:marTop w:val="0"/>
          <w:marBottom w:val="0"/>
          <w:divBdr>
            <w:top w:val="none" w:sz="0" w:space="0" w:color="auto"/>
            <w:left w:val="none" w:sz="0" w:space="0" w:color="auto"/>
            <w:bottom w:val="none" w:sz="0" w:space="0" w:color="auto"/>
            <w:right w:val="none" w:sz="0" w:space="0" w:color="auto"/>
          </w:divBdr>
        </w:div>
        <w:div w:id="1281111369">
          <w:marLeft w:val="288"/>
          <w:marRight w:val="0"/>
          <w:marTop w:val="140"/>
          <w:marBottom w:val="0"/>
          <w:divBdr>
            <w:top w:val="none" w:sz="0" w:space="0" w:color="auto"/>
            <w:left w:val="none" w:sz="0" w:space="0" w:color="auto"/>
            <w:bottom w:val="none" w:sz="0" w:space="0" w:color="auto"/>
            <w:right w:val="none" w:sz="0" w:space="0" w:color="auto"/>
          </w:divBdr>
        </w:div>
        <w:div w:id="558831534">
          <w:marLeft w:val="288"/>
          <w:marRight w:val="0"/>
          <w:marTop w:val="0"/>
          <w:marBottom w:val="0"/>
          <w:divBdr>
            <w:top w:val="none" w:sz="0" w:space="0" w:color="auto"/>
            <w:left w:val="none" w:sz="0" w:space="0" w:color="auto"/>
            <w:bottom w:val="none" w:sz="0" w:space="0" w:color="auto"/>
            <w:right w:val="none" w:sz="0" w:space="0" w:color="auto"/>
          </w:divBdr>
        </w:div>
        <w:div w:id="1864434221">
          <w:marLeft w:val="288"/>
          <w:marRight w:val="0"/>
          <w:marTop w:val="0"/>
          <w:marBottom w:val="0"/>
          <w:divBdr>
            <w:top w:val="none" w:sz="0" w:space="0" w:color="auto"/>
            <w:left w:val="none" w:sz="0" w:space="0" w:color="auto"/>
            <w:bottom w:val="none" w:sz="0" w:space="0" w:color="auto"/>
            <w:right w:val="none" w:sz="0" w:space="0" w:color="auto"/>
          </w:divBdr>
        </w:div>
        <w:div w:id="2084060433">
          <w:marLeft w:val="288"/>
          <w:marRight w:val="0"/>
          <w:marTop w:val="0"/>
          <w:marBottom w:val="0"/>
          <w:divBdr>
            <w:top w:val="none" w:sz="0" w:space="0" w:color="auto"/>
            <w:left w:val="none" w:sz="0" w:space="0" w:color="auto"/>
            <w:bottom w:val="none" w:sz="0" w:space="0" w:color="auto"/>
            <w:right w:val="none" w:sz="0" w:space="0" w:color="auto"/>
          </w:divBdr>
        </w:div>
        <w:div w:id="405613430">
          <w:marLeft w:val="288"/>
          <w:marRight w:val="0"/>
          <w:marTop w:val="0"/>
          <w:marBottom w:val="0"/>
          <w:divBdr>
            <w:top w:val="none" w:sz="0" w:space="0" w:color="auto"/>
            <w:left w:val="none" w:sz="0" w:space="0" w:color="auto"/>
            <w:bottom w:val="none" w:sz="0" w:space="0" w:color="auto"/>
            <w:right w:val="none" w:sz="0" w:space="0" w:color="auto"/>
          </w:divBdr>
        </w:div>
        <w:div w:id="923874745">
          <w:marLeft w:val="288"/>
          <w:marRight w:val="0"/>
          <w:marTop w:val="140"/>
          <w:marBottom w:val="0"/>
          <w:divBdr>
            <w:top w:val="none" w:sz="0" w:space="0" w:color="auto"/>
            <w:left w:val="none" w:sz="0" w:space="0" w:color="auto"/>
            <w:bottom w:val="none" w:sz="0" w:space="0" w:color="auto"/>
            <w:right w:val="none" w:sz="0" w:space="0" w:color="auto"/>
          </w:divBdr>
        </w:div>
        <w:div w:id="772825321">
          <w:marLeft w:val="288"/>
          <w:marRight w:val="0"/>
          <w:marTop w:val="0"/>
          <w:marBottom w:val="0"/>
          <w:divBdr>
            <w:top w:val="none" w:sz="0" w:space="0" w:color="auto"/>
            <w:left w:val="none" w:sz="0" w:space="0" w:color="auto"/>
            <w:bottom w:val="none" w:sz="0" w:space="0" w:color="auto"/>
            <w:right w:val="none" w:sz="0" w:space="0" w:color="auto"/>
          </w:divBdr>
        </w:div>
        <w:div w:id="945380580">
          <w:marLeft w:val="288"/>
          <w:marRight w:val="0"/>
          <w:marTop w:val="0"/>
          <w:marBottom w:val="0"/>
          <w:divBdr>
            <w:top w:val="none" w:sz="0" w:space="0" w:color="auto"/>
            <w:left w:val="none" w:sz="0" w:space="0" w:color="auto"/>
            <w:bottom w:val="none" w:sz="0" w:space="0" w:color="auto"/>
            <w:right w:val="none" w:sz="0" w:space="0" w:color="auto"/>
          </w:divBdr>
        </w:div>
        <w:div w:id="263271212">
          <w:marLeft w:val="288"/>
          <w:marRight w:val="0"/>
          <w:marTop w:val="0"/>
          <w:marBottom w:val="0"/>
          <w:divBdr>
            <w:top w:val="none" w:sz="0" w:space="0" w:color="auto"/>
            <w:left w:val="none" w:sz="0" w:space="0" w:color="auto"/>
            <w:bottom w:val="none" w:sz="0" w:space="0" w:color="auto"/>
            <w:right w:val="none" w:sz="0" w:space="0" w:color="auto"/>
          </w:divBdr>
        </w:div>
        <w:div w:id="2016953039">
          <w:marLeft w:val="288"/>
          <w:marRight w:val="0"/>
          <w:marTop w:val="0"/>
          <w:marBottom w:val="0"/>
          <w:divBdr>
            <w:top w:val="none" w:sz="0" w:space="0" w:color="auto"/>
            <w:left w:val="none" w:sz="0" w:space="0" w:color="auto"/>
            <w:bottom w:val="none" w:sz="0" w:space="0" w:color="auto"/>
            <w:right w:val="none" w:sz="0" w:space="0" w:color="auto"/>
          </w:divBdr>
        </w:div>
        <w:div w:id="1237284825">
          <w:marLeft w:val="288"/>
          <w:marRight w:val="0"/>
          <w:marTop w:val="140"/>
          <w:marBottom w:val="0"/>
          <w:divBdr>
            <w:top w:val="none" w:sz="0" w:space="0" w:color="auto"/>
            <w:left w:val="none" w:sz="0" w:space="0" w:color="auto"/>
            <w:bottom w:val="none" w:sz="0" w:space="0" w:color="auto"/>
            <w:right w:val="none" w:sz="0" w:space="0" w:color="auto"/>
          </w:divBdr>
        </w:div>
        <w:div w:id="1932665314">
          <w:marLeft w:val="288"/>
          <w:marRight w:val="0"/>
          <w:marTop w:val="0"/>
          <w:marBottom w:val="0"/>
          <w:divBdr>
            <w:top w:val="none" w:sz="0" w:space="0" w:color="auto"/>
            <w:left w:val="none" w:sz="0" w:space="0" w:color="auto"/>
            <w:bottom w:val="none" w:sz="0" w:space="0" w:color="auto"/>
            <w:right w:val="none" w:sz="0" w:space="0" w:color="auto"/>
          </w:divBdr>
        </w:div>
        <w:div w:id="1546019311">
          <w:marLeft w:val="288"/>
          <w:marRight w:val="0"/>
          <w:marTop w:val="0"/>
          <w:marBottom w:val="0"/>
          <w:divBdr>
            <w:top w:val="none" w:sz="0" w:space="0" w:color="auto"/>
            <w:left w:val="none" w:sz="0" w:space="0" w:color="auto"/>
            <w:bottom w:val="none" w:sz="0" w:space="0" w:color="auto"/>
            <w:right w:val="none" w:sz="0" w:space="0" w:color="auto"/>
          </w:divBdr>
        </w:div>
        <w:div w:id="2105571834">
          <w:marLeft w:val="288"/>
          <w:marRight w:val="0"/>
          <w:marTop w:val="0"/>
          <w:marBottom w:val="0"/>
          <w:divBdr>
            <w:top w:val="none" w:sz="0" w:space="0" w:color="auto"/>
            <w:left w:val="none" w:sz="0" w:space="0" w:color="auto"/>
            <w:bottom w:val="none" w:sz="0" w:space="0" w:color="auto"/>
            <w:right w:val="none" w:sz="0" w:space="0" w:color="auto"/>
          </w:divBdr>
        </w:div>
        <w:div w:id="1719476414">
          <w:marLeft w:val="288"/>
          <w:marRight w:val="0"/>
          <w:marTop w:val="0"/>
          <w:marBottom w:val="0"/>
          <w:divBdr>
            <w:top w:val="none" w:sz="0" w:space="0" w:color="auto"/>
            <w:left w:val="none" w:sz="0" w:space="0" w:color="auto"/>
            <w:bottom w:val="none" w:sz="0" w:space="0" w:color="auto"/>
            <w:right w:val="none" w:sz="0" w:space="0" w:color="auto"/>
          </w:divBdr>
        </w:div>
        <w:div w:id="1576670461">
          <w:marLeft w:val="288"/>
          <w:marRight w:val="0"/>
          <w:marTop w:val="140"/>
          <w:marBottom w:val="0"/>
          <w:divBdr>
            <w:top w:val="none" w:sz="0" w:space="0" w:color="auto"/>
            <w:left w:val="none" w:sz="0" w:space="0" w:color="auto"/>
            <w:bottom w:val="none" w:sz="0" w:space="0" w:color="auto"/>
            <w:right w:val="none" w:sz="0" w:space="0" w:color="auto"/>
          </w:divBdr>
        </w:div>
        <w:div w:id="940796360">
          <w:marLeft w:val="288"/>
          <w:marRight w:val="0"/>
          <w:marTop w:val="0"/>
          <w:marBottom w:val="0"/>
          <w:divBdr>
            <w:top w:val="none" w:sz="0" w:space="0" w:color="auto"/>
            <w:left w:val="none" w:sz="0" w:space="0" w:color="auto"/>
            <w:bottom w:val="none" w:sz="0" w:space="0" w:color="auto"/>
            <w:right w:val="none" w:sz="0" w:space="0" w:color="auto"/>
          </w:divBdr>
        </w:div>
        <w:div w:id="737046976">
          <w:marLeft w:val="288"/>
          <w:marRight w:val="0"/>
          <w:marTop w:val="0"/>
          <w:marBottom w:val="0"/>
          <w:divBdr>
            <w:top w:val="none" w:sz="0" w:space="0" w:color="auto"/>
            <w:left w:val="none" w:sz="0" w:space="0" w:color="auto"/>
            <w:bottom w:val="none" w:sz="0" w:space="0" w:color="auto"/>
            <w:right w:val="none" w:sz="0" w:space="0" w:color="auto"/>
          </w:divBdr>
        </w:div>
        <w:div w:id="1226720101">
          <w:marLeft w:val="288"/>
          <w:marRight w:val="0"/>
          <w:marTop w:val="140"/>
          <w:marBottom w:val="0"/>
          <w:divBdr>
            <w:top w:val="none" w:sz="0" w:space="0" w:color="auto"/>
            <w:left w:val="none" w:sz="0" w:space="0" w:color="auto"/>
            <w:bottom w:val="none" w:sz="0" w:space="0" w:color="auto"/>
            <w:right w:val="none" w:sz="0" w:space="0" w:color="auto"/>
          </w:divBdr>
        </w:div>
        <w:div w:id="1623414180">
          <w:marLeft w:val="288"/>
          <w:marRight w:val="0"/>
          <w:marTop w:val="0"/>
          <w:marBottom w:val="0"/>
          <w:divBdr>
            <w:top w:val="none" w:sz="0" w:space="0" w:color="auto"/>
            <w:left w:val="none" w:sz="0" w:space="0" w:color="auto"/>
            <w:bottom w:val="none" w:sz="0" w:space="0" w:color="auto"/>
            <w:right w:val="none" w:sz="0" w:space="0" w:color="auto"/>
          </w:divBdr>
        </w:div>
        <w:div w:id="1319453740">
          <w:marLeft w:val="288"/>
          <w:marRight w:val="0"/>
          <w:marTop w:val="0"/>
          <w:marBottom w:val="0"/>
          <w:divBdr>
            <w:top w:val="none" w:sz="0" w:space="0" w:color="auto"/>
            <w:left w:val="none" w:sz="0" w:space="0" w:color="auto"/>
            <w:bottom w:val="none" w:sz="0" w:space="0" w:color="auto"/>
            <w:right w:val="none" w:sz="0" w:space="0" w:color="auto"/>
          </w:divBdr>
        </w:div>
        <w:div w:id="439298729">
          <w:marLeft w:val="288"/>
          <w:marRight w:val="0"/>
          <w:marTop w:val="140"/>
          <w:marBottom w:val="0"/>
          <w:divBdr>
            <w:top w:val="none" w:sz="0" w:space="0" w:color="auto"/>
            <w:left w:val="none" w:sz="0" w:space="0" w:color="auto"/>
            <w:bottom w:val="none" w:sz="0" w:space="0" w:color="auto"/>
            <w:right w:val="none" w:sz="0" w:space="0" w:color="auto"/>
          </w:divBdr>
        </w:div>
        <w:div w:id="580869899">
          <w:marLeft w:val="288"/>
          <w:marRight w:val="0"/>
          <w:marTop w:val="0"/>
          <w:marBottom w:val="0"/>
          <w:divBdr>
            <w:top w:val="none" w:sz="0" w:space="0" w:color="auto"/>
            <w:left w:val="none" w:sz="0" w:space="0" w:color="auto"/>
            <w:bottom w:val="none" w:sz="0" w:space="0" w:color="auto"/>
            <w:right w:val="none" w:sz="0" w:space="0" w:color="auto"/>
          </w:divBdr>
        </w:div>
        <w:div w:id="1254120617">
          <w:marLeft w:val="288"/>
          <w:marRight w:val="0"/>
          <w:marTop w:val="0"/>
          <w:marBottom w:val="0"/>
          <w:divBdr>
            <w:top w:val="none" w:sz="0" w:space="0" w:color="auto"/>
            <w:left w:val="none" w:sz="0" w:space="0" w:color="auto"/>
            <w:bottom w:val="none" w:sz="0" w:space="0" w:color="auto"/>
            <w:right w:val="none" w:sz="0" w:space="0" w:color="auto"/>
          </w:divBdr>
        </w:div>
        <w:div w:id="921183704">
          <w:marLeft w:val="288"/>
          <w:marRight w:val="0"/>
          <w:marTop w:val="140"/>
          <w:marBottom w:val="0"/>
          <w:divBdr>
            <w:top w:val="none" w:sz="0" w:space="0" w:color="auto"/>
            <w:left w:val="none" w:sz="0" w:space="0" w:color="auto"/>
            <w:bottom w:val="none" w:sz="0" w:space="0" w:color="auto"/>
            <w:right w:val="none" w:sz="0" w:space="0" w:color="auto"/>
          </w:divBdr>
        </w:div>
        <w:div w:id="1978104162">
          <w:marLeft w:val="288"/>
          <w:marRight w:val="0"/>
          <w:marTop w:val="0"/>
          <w:marBottom w:val="0"/>
          <w:divBdr>
            <w:top w:val="none" w:sz="0" w:space="0" w:color="auto"/>
            <w:left w:val="none" w:sz="0" w:space="0" w:color="auto"/>
            <w:bottom w:val="none" w:sz="0" w:space="0" w:color="auto"/>
            <w:right w:val="none" w:sz="0" w:space="0" w:color="auto"/>
          </w:divBdr>
        </w:div>
        <w:div w:id="1147824941">
          <w:marLeft w:val="288"/>
          <w:marRight w:val="0"/>
          <w:marTop w:val="0"/>
          <w:marBottom w:val="0"/>
          <w:divBdr>
            <w:top w:val="none" w:sz="0" w:space="0" w:color="auto"/>
            <w:left w:val="none" w:sz="0" w:space="0" w:color="auto"/>
            <w:bottom w:val="none" w:sz="0" w:space="0" w:color="auto"/>
            <w:right w:val="none" w:sz="0" w:space="0" w:color="auto"/>
          </w:divBdr>
        </w:div>
        <w:div w:id="2050182205">
          <w:marLeft w:val="288"/>
          <w:marRight w:val="0"/>
          <w:marTop w:val="140"/>
          <w:marBottom w:val="0"/>
          <w:divBdr>
            <w:top w:val="none" w:sz="0" w:space="0" w:color="auto"/>
            <w:left w:val="none" w:sz="0" w:space="0" w:color="auto"/>
            <w:bottom w:val="none" w:sz="0" w:space="0" w:color="auto"/>
            <w:right w:val="none" w:sz="0" w:space="0" w:color="auto"/>
          </w:divBdr>
        </w:div>
        <w:div w:id="220871688">
          <w:marLeft w:val="288"/>
          <w:marRight w:val="0"/>
          <w:marTop w:val="0"/>
          <w:marBottom w:val="0"/>
          <w:divBdr>
            <w:top w:val="none" w:sz="0" w:space="0" w:color="auto"/>
            <w:left w:val="none" w:sz="0" w:space="0" w:color="auto"/>
            <w:bottom w:val="none" w:sz="0" w:space="0" w:color="auto"/>
            <w:right w:val="none" w:sz="0" w:space="0" w:color="auto"/>
          </w:divBdr>
        </w:div>
        <w:div w:id="1798254298">
          <w:marLeft w:val="288"/>
          <w:marRight w:val="0"/>
          <w:marTop w:val="0"/>
          <w:marBottom w:val="0"/>
          <w:divBdr>
            <w:top w:val="none" w:sz="0" w:space="0" w:color="auto"/>
            <w:left w:val="none" w:sz="0" w:space="0" w:color="auto"/>
            <w:bottom w:val="none" w:sz="0" w:space="0" w:color="auto"/>
            <w:right w:val="none" w:sz="0" w:space="0" w:color="auto"/>
          </w:divBdr>
        </w:div>
        <w:div w:id="1961640592">
          <w:marLeft w:val="288"/>
          <w:marRight w:val="0"/>
          <w:marTop w:val="0"/>
          <w:marBottom w:val="0"/>
          <w:divBdr>
            <w:top w:val="none" w:sz="0" w:space="0" w:color="auto"/>
            <w:left w:val="none" w:sz="0" w:space="0" w:color="auto"/>
            <w:bottom w:val="none" w:sz="0" w:space="0" w:color="auto"/>
            <w:right w:val="none" w:sz="0" w:space="0" w:color="auto"/>
          </w:divBdr>
        </w:div>
        <w:div w:id="857933124">
          <w:marLeft w:val="288"/>
          <w:marRight w:val="0"/>
          <w:marTop w:val="140"/>
          <w:marBottom w:val="0"/>
          <w:divBdr>
            <w:top w:val="none" w:sz="0" w:space="0" w:color="auto"/>
            <w:left w:val="none" w:sz="0" w:space="0" w:color="auto"/>
            <w:bottom w:val="none" w:sz="0" w:space="0" w:color="auto"/>
            <w:right w:val="none" w:sz="0" w:space="0" w:color="auto"/>
          </w:divBdr>
        </w:div>
        <w:div w:id="1603032311">
          <w:marLeft w:val="288"/>
          <w:marRight w:val="0"/>
          <w:marTop w:val="0"/>
          <w:marBottom w:val="0"/>
          <w:divBdr>
            <w:top w:val="none" w:sz="0" w:space="0" w:color="auto"/>
            <w:left w:val="none" w:sz="0" w:space="0" w:color="auto"/>
            <w:bottom w:val="none" w:sz="0" w:space="0" w:color="auto"/>
            <w:right w:val="none" w:sz="0" w:space="0" w:color="auto"/>
          </w:divBdr>
        </w:div>
        <w:div w:id="742216594">
          <w:marLeft w:val="288"/>
          <w:marRight w:val="0"/>
          <w:marTop w:val="0"/>
          <w:marBottom w:val="0"/>
          <w:divBdr>
            <w:top w:val="none" w:sz="0" w:space="0" w:color="auto"/>
            <w:left w:val="none" w:sz="0" w:space="0" w:color="auto"/>
            <w:bottom w:val="none" w:sz="0" w:space="0" w:color="auto"/>
            <w:right w:val="none" w:sz="0" w:space="0" w:color="auto"/>
          </w:divBdr>
        </w:div>
        <w:div w:id="1362632717">
          <w:marLeft w:val="288"/>
          <w:marRight w:val="0"/>
          <w:marTop w:val="140"/>
          <w:marBottom w:val="0"/>
          <w:divBdr>
            <w:top w:val="none" w:sz="0" w:space="0" w:color="auto"/>
            <w:left w:val="none" w:sz="0" w:space="0" w:color="auto"/>
            <w:bottom w:val="none" w:sz="0" w:space="0" w:color="auto"/>
            <w:right w:val="none" w:sz="0" w:space="0" w:color="auto"/>
          </w:divBdr>
        </w:div>
        <w:div w:id="2030175198">
          <w:marLeft w:val="288"/>
          <w:marRight w:val="0"/>
          <w:marTop w:val="0"/>
          <w:marBottom w:val="0"/>
          <w:divBdr>
            <w:top w:val="none" w:sz="0" w:space="0" w:color="auto"/>
            <w:left w:val="none" w:sz="0" w:space="0" w:color="auto"/>
            <w:bottom w:val="none" w:sz="0" w:space="0" w:color="auto"/>
            <w:right w:val="none" w:sz="0" w:space="0" w:color="auto"/>
          </w:divBdr>
        </w:div>
        <w:div w:id="7608400">
          <w:marLeft w:val="288"/>
          <w:marRight w:val="0"/>
          <w:marTop w:val="0"/>
          <w:marBottom w:val="0"/>
          <w:divBdr>
            <w:top w:val="none" w:sz="0" w:space="0" w:color="auto"/>
            <w:left w:val="none" w:sz="0" w:space="0" w:color="auto"/>
            <w:bottom w:val="none" w:sz="0" w:space="0" w:color="auto"/>
            <w:right w:val="none" w:sz="0" w:space="0" w:color="auto"/>
          </w:divBdr>
        </w:div>
        <w:div w:id="761606604">
          <w:marLeft w:val="288"/>
          <w:marRight w:val="0"/>
          <w:marTop w:val="140"/>
          <w:marBottom w:val="0"/>
          <w:divBdr>
            <w:top w:val="none" w:sz="0" w:space="0" w:color="auto"/>
            <w:left w:val="none" w:sz="0" w:space="0" w:color="auto"/>
            <w:bottom w:val="none" w:sz="0" w:space="0" w:color="auto"/>
            <w:right w:val="none" w:sz="0" w:space="0" w:color="auto"/>
          </w:divBdr>
        </w:div>
        <w:div w:id="2036729320">
          <w:marLeft w:val="288"/>
          <w:marRight w:val="0"/>
          <w:marTop w:val="0"/>
          <w:marBottom w:val="0"/>
          <w:divBdr>
            <w:top w:val="none" w:sz="0" w:space="0" w:color="auto"/>
            <w:left w:val="none" w:sz="0" w:space="0" w:color="auto"/>
            <w:bottom w:val="none" w:sz="0" w:space="0" w:color="auto"/>
            <w:right w:val="none" w:sz="0" w:space="0" w:color="auto"/>
          </w:divBdr>
        </w:div>
        <w:div w:id="723330534">
          <w:marLeft w:val="288"/>
          <w:marRight w:val="0"/>
          <w:marTop w:val="0"/>
          <w:marBottom w:val="0"/>
          <w:divBdr>
            <w:top w:val="none" w:sz="0" w:space="0" w:color="auto"/>
            <w:left w:val="none" w:sz="0" w:space="0" w:color="auto"/>
            <w:bottom w:val="none" w:sz="0" w:space="0" w:color="auto"/>
            <w:right w:val="none" w:sz="0" w:space="0" w:color="auto"/>
          </w:divBdr>
        </w:div>
        <w:div w:id="30615977">
          <w:marLeft w:val="288"/>
          <w:marRight w:val="0"/>
          <w:marTop w:val="140"/>
          <w:marBottom w:val="0"/>
          <w:divBdr>
            <w:top w:val="none" w:sz="0" w:space="0" w:color="auto"/>
            <w:left w:val="none" w:sz="0" w:space="0" w:color="auto"/>
            <w:bottom w:val="none" w:sz="0" w:space="0" w:color="auto"/>
            <w:right w:val="none" w:sz="0" w:space="0" w:color="auto"/>
          </w:divBdr>
        </w:div>
        <w:div w:id="526871690">
          <w:marLeft w:val="288"/>
          <w:marRight w:val="0"/>
          <w:marTop w:val="0"/>
          <w:marBottom w:val="0"/>
          <w:divBdr>
            <w:top w:val="none" w:sz="0" w:space="0" w:color="auto"/>
            <w:left w:val="none" w:sz="0" w:space="0" w:color="auto"/>
            <w:bottom w:val="none" w:sz="0" w:space="0" w:color="auto"/>
            <w:right w:val="none" w:sz="0" w:space="0" w:color="auto"/>
          </w:divBdr>
        </w:div>
        <w:div w:id="316803334">
          <w:marLeft w:val="288"/>
          <w:marRight w:val="0"/>
          <w:marTop w:val="140"/>
          <w:marBottom w:val="0"/>
          <w:divBdr>
            <w:top w:val="none" w:sz="0" w:space="0" w:color="auto"/>
            <w:left w:val="none" w:sz="0" w:space="0" w:color="auto"/>
            <w:bottom w:val="none" w:sz="0" w:space="0" w:color="auto"/>
            <w:right w:val="none" w:sz="0" w:space="0" w:color="auto"/>
          </w:divBdr>
        </w:div>
      </w:divsChild>
    </w:div>
    <w:div w:id="127747396">
      <w:bodyDiv w:val="1"/>
      <w:marLeft w:val="0"/>
      <w:marRight w:val="0"/>
      <w:marTop w:val="0"/>
      <w:marBottom w:val="0"/>
      <w:divBdr>
        <w:top w:val="none" w:sz="0" w:space="0" w:color="auto"/>
        <w:left w:val="none" w:sz="0" w:space="0" w:color="auto"/>
        <w:bottom w:val="none" w:sz="0" w:space="0" w:color="auto"/>
        <w:right w:val="none" w:sz="0" w:space="0" w:color="auto"/>
      </w:divBdr>
      <w:divsChild>
        <w:div w:id="2146509709">
          <w:marLeft w:val="288"/>
          <w:marRight w:val="0"/>
          <w:marTop w:val="60"/>
          <w:marBottom w:val="0"/>
          <w:divBdr>
            <w:top w:val="none" w:sz="0" w:space="0" w:color="auto"/>
            <w:left w:val="none" w:sz="0" w:space="0" w:color="auto"/>
            <w:bottom w:val="none" w:sz="0" w:space="0" w:color="auto"/>
            <w:right w:val="none" w:sz="0" w:space="0" w:color="auto"/>
          </w:divBdr>
        </w:div>
        <w:div w:id="919025567">
          <w:marLeft w:val="288"/>
          <w:marRight w:val="0"/>
          <w:marTop w:val="60"/>
          <w:marBottom w:val="0"/>
          <w:divBdr>
            <w:top w:val="none" w:sz="0" w:space="0" w:color="auto"/>
            <w:left w:val="none" w:sz="0" w:space="0" w:color="auto"/>
            <w:bottom w:val="none" w:sz="0" w:space="0" w:color="auto"/>
            <w:right w:val="none" w:sz="0" w:space="0" w:color="auto"/>
          </w:divBdr>
        </w:div>
        <w:div w:id="1388649526">
          <w:marLeft w:val="288"/>
          <w:marRight w:val="0"/>
          <w:marTop w:val="60"/>
          <w:marBottom w:val="0"/>
          <w:divBdr>
            <w:top w:val="none" w:sz="0" w:space="0" w:color="auto"/>
            <w:left w:val="none" w:sz="0" w:space="0" w:color="auto"/>
            <w:bottom w:val="none" w:sz="0" w:space="0" w:color="auto"/>
            <w:right w:val="none" w:sz="0" w:space="0" w:color="auto"/>
          </w:divBdr>
        </w:div>
        <w:div w:id="2093893094">
          <w:marLeft w:val="562"/>
          <w:marRight w:val="0"/>
          <w:marTop w:val="60"/>
          <w:marBottom w:val="0"/>
          <w:divBdr>
            <w:top w:val="none" w:sz="0" w:space="0" w:color="auto"/>
            <w:left w:val="none" w:sz="0" w:space="0" w:color="auto"/>
            <w:bottom w:val="none" w:sz="0" w:space="0" w:color="auto"/>
            <w:right w:val="none" w:sz="0" w:space="0" w:color="auto"/>
          </w:divBdr>
        </w:div>
        <w:div w:id="172648592">
          <w:marLeft w:val="562"/>
          <w:marRight w:val="0"/>
          <w:marTop w:val="60"/>
          <w:marBottom w:val="0"/>
          <w:divBdr>
            <w:top w:val="none" w:sz="0" w:space="0" w:color="auto"/>
            <w:left w:val="none" w:sz="0" w:space="0" w:color="auto"/>
            <w:bottom w:val="none" w:sz="0" w:space="0" w:color="auto"/>
            <w:right w:val="none" w:sz="0" w:space="0" w:color="auto"/>
          </w:divBdr>
        </w:div>
      </w:divsChild>
    </w:div>
    <w:div w:id="144053462">
      <w:bodyDiv w:val="1"/>
      <w:marLeft w:val="0"/>
      <w:marRight w:val="0"/>
      <w:marTop w:val="0"/>
      <w:marBottom w:val="0"/>
      <w:divBdr>
        <w:top w:val="none" w:sz="0" w:space="0" w:color="auto"/>
        <w:left w:val="none" w:sz="0" w:space="0" w:color="auto"/>
        <w:bottom w:val="none" w:sz="0" w:space="0" w:color="auto"/>
        <w:right w:val="none" w:sz="0" w:space="0" w:color="auto"/>
      </w:divBdr>
    </w:div>
    <w:div w:id="150878390">
      <w:bodyDiv w:val="1"/>
      <w:marLeft w:val="0"/>
      <w:marRight w:val="0"/>
      <w:marTop w:val="0"/>
      <w:marBottom w:val="0"/>
      <w:divBdr>
        <w:top w:val="none" w:sz="0" w:space="0" w:color="auto"/>
        <w:left w:val="none" w:sz="0" w:space="0" w:color="auto"/>
        <w:bottom w:val="none" w:sz="0" w:space="0" w:color="auto"/>
        <w:right w:val="none" w:sz="0" w:space="0" w:color="auto"/>
      </w:divBdr>
    </w:div>
    <w:div w:id="153690235">
      <w:bodyDiv w:val="1"/>
      <w:marLeft w:val="0"/>
      <w:marRight w:val="0"/>
      <w:marTop w:val="0"/>
      <w:marBottom w:val="0"/>
      <w:divBdr>
        <w:top w:val="none" w:sz="0" w:space="0" w:color="auto"/>
        <w:left w:val="none" w:sz="0" w:space="0" w:color="auto"/>
        <w:bottom w:val="none" w:sz="0" w:space="0" w:color="auto"/>
        <w:right w:val="none" w:sz="0" w:space="0" w:color="auto"/>
      </w:divBdr>
    </w:div>
    <w:div w:id="161312131">
      <w:bodyDiv w:val="1"/>
      <w:marLeft w:val="0"/>
      <w:marRight w:val="0"/>
      <w:marTop w:val="0"/>
      <w:marBottom w:val="0"/>
      <w:divBdr>
        <w:top w:val="none" w:sz="0" w:space="0" w:color="auto"/>
        <w:left w:val="none" w:sz="0" w:space="0" w:color="auto"/>
        <w:bottom w:val="none" w:sz="0" w:space="0" w:color="auto"/>
        <w:right w:val="none" w:sz="0" w:space="0" w:color="auto"/>
      </w:divBdr>
    </w:div>
    <w:div w:id="201064757">
      <w:bodyDiv w:val="1"/>
      <w:marLeft w:val="0"/>
      <w:marRight w:val="0"/>
      <w:marTop w:val="0"/>
      <w:marBottom w:val="0"/>
      <w:divBdr>
        <w:top w:val="none" w:sz="0" w:space="0" w:color="auto"/>
        <w:left w:val="none" w:sz="0" w:space="0" w:color="auto"/>
        <w:bottom w:val="none" w:sz="0" w:space="0" w:color="auto"/>
        <w:right w:val="none" w:sz="0" w:space="0" w:color="auto"/>
      </w:divBdr>
    </w:div>
    <w:div w:id="222958466">
      <w:bodyDiv w:val="1"/>
      <w:marLeft w:val="0"/>
      <w:marRight w:val="0"/>
      <w:marTop w:val="0"/>
      <w:marBottom w:val="0"/>
      <w:divBdr>
        <w:top w:val="none" w:sz="0" w:space="0" w:color="auto"/>
        <w:left w:val="none" w:sz="0" w:space="0" w:color="auto"/>
        <w:bottom w:val="none" w:sz="0" w:space="0" w:color="auto"/>
        <w:right w:val="none" w:sz="0" w:space="0" w:color="auto"/>
      </w:divBdr>
    </w:div>
    <w:div w:id="230165206">
      <w:bodyDiv w:val="1"/>
      <w:marLeft w:val="0"/>
      <w:marRight w:val="0"/>
      <w:marTop w:val="0"/>
      <w:marBottom w:val="0"/>
      <w:divBdr>
        <w:top w:val="none" w:sz="0" w:space="0" w:color="auto"/>
        <w:left w:val="none" w:sz="0" w:space="0" w:color="auto"/>
        <w:bottom w:val="none" w:sz="0" w:space="0" w:color="auto"/>
        <w:right w:val="none" w:sz="0" w:space="0" w:color="auto"/>
      </w:divBdr>
    </w:div>
    <w:div w:id="236717218">
      <w:bodyDiv w:val="1"/>
      <w:marLeft w:val="0"/>
      <w:marRight w:val="0"/>
      <w:marTop w:val="0"/>
      <w:marBottom w:val="0"/>
      <w:divBdr>
        <w:top w:val="none" w:sz="0" w:space="0" w:color="auto"/>
        <w:left w:val="none" w:sz="0" w:space="0" w:color="auto"/>
        <w:bottom w:val="none" w:sz="0" w:space="0" w:color="auto"/>
        <w:right w:val="none" w:sz="0" w:space="0" w:color="auto"/>
      </w:divBdr>
    </w:div>
    <w:div w:id="317538274">
      <w:bodyDiv w:val="1"/>
      <w:marLeft w:val="0"/>
      <w:marRight w:val="0"/>
      <w:marTop w:val="0"/>
      <w:marBottom w:val="0"/>
      <w:divBdr>
        <w:top w:val="none" w:sz="0" w:space="0" w:color="auto"/>
        <w:left w:val="none" w:sz="0" w:space="0" w:color="auto"/>
        <w:bottom w:val="none" w:sz="0" w:space="0" w:color="auto"/>
        <w:right w:val="none" w:sz="0" w:space="0" w:color="auto"/>
      </w:divBdr>
    </w:div>
    <w:div w:id="345788476">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sChild>
        <w:div w:id="1037391631">
          <w:marLeft w:val="288"/>
          <w:marRight w:val="0"/>
          <w:marTop w:val="60"/>
          <w:marBottom w:val="0"/>
          <w:divBdr>
            <w:top w:val="none" w:sz="0" w:space="0" w:color="auto"/>
            <w:left w:val="none" w:sz="0" w:space="0" w:color="auto"/>
            <w:bottom w:val="none" w:sz="0" w:space="0" w:color="auto"/>
            <w:right w:val="none" w:sz="0" w:space="0" w:color="auto"/>
          </w:divBdr>
        </w:div>
        <w:div w:id="1012730752">
          <w:marLeft w:val="288"/>
          <w:marRight w:val="0"/>
          <w:marTop w:val="60"/>
          <w:marBottom w:val="0"/>
          <w:divBdr>
            <w:top w:val="none" w:sz="0" w:space="0" w:color="auto"/>
            <w:left w:val="none" w:sz="0" w:space="0" w:color="auto"/>
            <w:bottom w:val="none" w:sz="0" w:space="0" w:color="auto"/>
            <w:right w:val="none" w:sz="0" w:space="0" w:color="auto"/>
          </w:divBdr>
        </w:div>
        <w:div w:id="913471358">
          <w:marLeft w:val="288"/>
          <w:marRight w:val="0"/>
          <w:marTop w:val="60"/>
          <w:marBottom w:val="0"/>
          <w:divBdr>
            <w:top w:val="none" w:sz="0" w:space="0" w:color="auto"/>
            <w:left w:val="none" w:sz="0" w:space="0" w:color="auto"/>
            <w:bottom w:val="none" w:sz="0" w:space="0" w:color="auto"/>
            <w:right w:val="none" w:sz="0" w:space="0" w:color="auto"/>
          </w:divBdr>
        </w:div>
        <w:div w:id="942883331">
          <w:marLeft w:val="562"/>
          <w:marRight w:val="0"/>
          <w:marTop w:val="60"/>
          <w:marBottom w:val="0"/>
          <w:divBdr>
            <w:top w:val="none" w:sz="0" w:space="0" w:color="auto"/>
            <w:left w:val="none" w:sz="0" w:space="0" w:color="auto"/>
            <w:bottom w:val="none" w:sz="0" w:space="0" w:color="auto"/>
            <w:right w:val="none" w:sz="0" w:space="0" w:color="auto"/>
          </w:divBdr>
        </w:div>
        <w:div w:id="1606886169">
          <w:marLeft w:val="562"/>
          <w:marRight w:val="0"/>
          <w:marTop w:val="60"/>
          <w:marBottom w:val="0"/>
          <w:divBdr>
            <w:top w:val="none" w:sz="0" w:space="0" w:color="auto"/>
            <w:left w:val="none" w:sz="0" w:space="0" w:color="auto"/>
            <w:bottom w:val="none" w:sz="0" w:space="0" w:color="auto"/>
            <w:right w:val="none" w:sz="0" w:space="0" w:color="auto"/>
          </w:divBdr>
        </w:div>
      </w:divsChild>
    </w:div>
    <w:div w:id="385640429">
      <w:bodyDiv w:val="1"/>
      <w:marLeft w:val="0"/>
      <w:marRight w:val="0"/>
      <w:marTop w:val="0"/>
      <w:marBottom w:val="0"/>
      <w:divBdr>
        <w:top w:val="none" w:sz="0" w:space="0" w:color="auto"/>
        <w:left w:val="none" w:sz="0" w:space="0" w:color="auto"/>
        <w:bottom w:val="none" w:sz="0" w:space="0" w:color="auto"/>
        <w:right w:val="none" w:sz="0" w:space="0" w:color="auto"/>
      </w:divBdr>
      <w:divsChild>
        <w:div w:id="1008409435">
          <w:marLeft w:val="288"/>
          <w:marRight w:val="0"/>
          <w:marTop w:val="0"/>
          <w:marBottom w:val="0"/>
          <w:divBdr>
            <w:top w:val="none" w:sz="0" w:space="0" w:color="auto"/>
            <w:left w:val="none" w:sz="0" w:space="0" w:color="auto"/>
            <w:bottom w:val="none" w:sz="0" w:space="0" w:color="auto"/>
            <w:right w:val="none" w:sz="0" w:space="0" w:color="auto"/>
          </w:divBdr>
        </w:div>
        <w:div w:id="2082435836">
          <w:marLeft w:val="288"/>
          <w:marRight w:val="0"/>
          <w:marTop w:val="0"/>
          <w:marBottom w:val="0"/>
          <w:divBdr>
            <w:top w:val="none" w:sz="0" w:space="0" w:color="auto"/>
            <w:left w:val="none" w:sz="0" w:space="0" w:color="auto"/>
            <w:bottom w:val="none" w:sz="0" w:space="0" w:color="auto"/>
            <w:right w:val="none" w:sz="0" w:space="0" w:color="auto"/>
          </w:divBdr>
        </w:div>
        <w:div w:id="2072851166">
          <w:marLeft w:val="288"/>
          <w:marRight w:val="0"/>
          <w:marTop w:val="0"/>
          <w:marBottom w:val="0"/>
          <w:divBdr>
            <w:top w:val="none" w:sz="0" w:space="0" w:color="auto"/>
            <w:left w:val="none" w:sz="0" w:space="0" w:color="auto"/>
            <w:bottom w:val="none" w:sz="0" w:space="0" w:color="auto"/>
            <w:right w:val="none" w:sz="0" w:space="0" w:color="auto"/>
          </w:divBdr>
        </w:div>
        <w:div w:id="472455492">
          <w:marLeft w:val="288"/>
          <w:marRight w:val="0"/>
          <w:marTop w:val="0"/>
          <w:marBottom w:val="0"/>
          <w:divBdr>
            <w:top w:val="none" w:sz="0" w:space="0" w:color="auto"/>
            <w:left w:val="none" w:sz="0" w:space="0" w:color="auto"/>
            <w:bottom w:val="none" w:sz="0" w:space="0" w:color="auto"/>
            <w:right w:val="none" w:sz="0" w:space="0" w:color="auto"/>
          </w:divBdr>
        </w:div>
        <w:div w:id="2080471252">
          <w:marLeft w:val="288"/>
          <w:marRight w:val="0"/>
          <w:marTop w:val="0"/>
          <w:marBottom w:val="0"/>
          <w:divBdr>
            <w:top w:val="none" w:sz="0" w:space="0" w:color="auto"/>
            <w:left w:val="none" w:sz="0" w:space="0" w:color="auto"/>
            <w:bottom w:val="none" w:sz="0" w:space="0" w:color="auto"/>
            <w:right w:val="none" w:sz="0" w:space="0" w:color="auto"/>
          </w:divBdr>
        </w:div>
      </w:divsChild>
    </w:div>
    <w:div w:id="444469384">
      <w:bodyDiv w:val="1"/>
      <w:marLeft w:val="0"/>
      <w:marRight w:val="0"/>
      <w:marTop w:val="0"/>
      <w:marBottom w:val="0"/>
      <w:divBdr>
        <w:top w:val="none" w:sz="0" w:space="0" w:color="auto"/>
        <w:left w:val="none" w:sz="0" w:space="0" w:color="auto"/>
        <w:bottom w:val="none" w:sz="0" w:space="0" w:color="auto"/>
        <w:right w:val="none" w:sz="0" w:space="0" w:color="auto"/>
      </w:divBdr>
    </w:div>
    <w:div w:id="469514971">
      <w:bodyDiv w:val="1"/>
      <w:marLeft w:val="0"/>
      <w:marRight w:val="0"/>
      <w:marTop w:val="0"/>
      <w:marBottom w:val="0"/>
      <w:divBdr>
        <w:top w:val="none" w:sz="0" w:space="0" w:color="auto"/>
        <w:left w:val="none" w:sz="0" w:space="0" w:color="auto"/>
        <w:bottom w:val="none" w:sz="0" w:space="0" w:color="auto"/>
        <w:right w:val="none" w:sz="0" w:space="0" w:color="auto"/>
      </w:divBdr>
    </w:div>
    <w:div w:id="482888896">
      <w:bodyDiv w:val="1"/>
      <w:marLeft w:val="0"/>
      <w:marRight w:val="0"/>
      <w:marTop w:val="0"/>
      <w:marBottom w:val="0"/>
      <w:divBdr>
        <w:top w:val="none" w:sz="0" w:space="0" w:color="auto"/>
        <w:left w:val="none" w:sz="0" w:space="0" w:color="auto"/>
        <w:bottom w:val="none" w:sz="0" w:space="0" w:color="auto"/>
        <w:right w:val="none" w:sz="0" w:space="0" w:color="auto"/>
      </w:divBdr>
    </w:div>
    <w:div w:id="508830008">
      <w:bodyDiv w:val="1"/>
      <w:marLeft w:val="0"/>
      <w:marRight w:val="0"/>
      <w:marTop w:val="0"/>
      <w:marBottom w:val="0"/>
      <w:divBdr>
        <w:top w:val="none" w:sz="0" w:space="0" w:color="auto"/>
        <w:left w:val="none" w:sz="0" w:space="0" w:color="auto"/>
        <w:bottom w:val="none" w:sz="0" w:space="0" w:color="auto"/>
        <w:right w:val="none" w:sz="0" w:space="0" w:color="auto"/>
      </w:divBdr>
    </w:div>
    <w:div w:id="583488598">
      <w:bodyDiv w:val="1"/>
      <w:marLeft w:val="0"/>
      <w:marRight w:val="0"/>
      <w:marTop w:val="0"/>
      <w:marBottom w:val="0"/>
      <w:divBdr>
        <w:top w:val="none" w:sz="0" w:space="0" w:color="auto"/>
        <w:left w:val="none" w:sz="0" w:space="0" w:color="auto"/>
        <w:bottom w:val="none" w:sz="0" w:space="0" w:color="auto"/>
        <w:right w:val="none" w:sz="0" w:space="0" w:color="auto"/>
      </w:divBdr>
    </w:div>
    <w:div w:id="586498525">
      <w:bodyDiv w:val="1"/>
      <w:marLeft w:val="0"/>
      <w:marRight w:val="0"/>
      <w:marTop w:val="0"/>
      <w:marBottom w:val="0"/>
      <w:divBdr>
        <w:top w:val="none" w:sz="0" w:space="0" w:color="auto"/>
        <w:left w:val="none" w:sz="0" w:space="0" w:color="auto"/>
        <w:bottom w:val="none" w:sz="0" w:space="0" w:color="auto"/>
        <w:right w:val="none" w:sz="0" w:space="0" w:color="auto"/>
      </w:divBdr>
    </w:div>
    <w:div w:id="624314393">
      <w:bodyDiv w:val="1"/>
      <w:marLeft w:val="0"/>
      <w:marRight w:val="0"/>
      <w:marTop w:val="0"/>
      <w:marBottom w:val="0"/>
      <w:divBdr>
        <w:top w:val="none" w:sz="0" w:space="0" w:color="auto"/>
        <w:left w:val="none" w:sz="0" w:space="0" w:color="auto"/>
        <w:bottom w:val="none" w:sz="0" w:space="0" w:color="auto"/>
        <w:right w:val="none" w:sz="0" w:space="0" w:color="auto"/>
      </w:divBdr>
    </w:div>
    <w:div w:id="636105146">
      <w:bodyDiv w:val="1"/>
      <w:marLeft w:val="0"/>
      <w:marRight w:val="0"/>
      <w:marTop w:val="0"/>
      <w:marBottom w:val="0"/>
      <w:divBdr>
        <w:top w:val="none" w:sz="0" w:space="0" w:color="auto"/>
        <w:left w:val="none" w:sz="0" w:space="0" w:color="auto"/>
        <w:bottom w:val="none" w:sz="0" w:space="0" w:color="auto"/>
        <w:right w:val="none" w:sz="0" w:space="0" w:color="auto"/>
      </w:divBdr>
    </w:div>
    <w:div w:id="661811815">
      <w:bodyDiv w:val="1"/>
      <w:marLeft w:val="0"/>
      <w:marRight w:val="0"/>
      <w:marTop w:val="0"/>
      <w:marBottom w:val="0"/>
      <w:divBdr>
        <w:top w:val="none" w:sz="0" w:space="0" w:color="auto"/>
        <w:left w:val="none" w:sz="0" w:space="0" w:color="auto"/>
        <w:bottom w:val="none" w:sz="0" w:space="0" w:color="auto"/>
        <w:right w:val="none" w:sz="0" w:space="0" w:color="auto"/>
      </w:divBdr>
    </w:div>
    <w:div w:id="674041172">
      <w:bodyDiv w:val="1"/>
      <w:marLeft w:val="0"/>
      <w:marRight w:val="0"/>
      <w:marTop w:val="0"/>
      <w:marBottom w:val="0"/>
      <w:divBdr>
        <w:top w:val="none" w:sz="0" w:space="0" w:color="auto"/>
        <w:left w:val="none" w:sz="0" w:space="0" w:color="auto"/>
        <w:bottom w:val="none" w:sz="0" w:space="0" w:color="auto"/>
        <w:right w:val="none" w:sz="0" w:space="0" w:color="auto"/>
      </w:divBdr>
    </w:div>
    <w:div w:id="682825203">
      <w:bodyDiv w:val="1"/>
      <w:marLeft w:val="0"/>
      <w:marRight w:val="0"/>
      <w:marTop w:val="0"/>
      <w:marBottom w:val="0"/>
      <w:divBdr>
        <w:top w:val="none" w:sz="0" w:space="0" w:color="auto"/>
        <w:left w:val="none" w:sz="0" w:space="0" w:color="auto"/>
        <w:bottom w:val="none" w:sz="0" w:space="0" w:color="auto"/>
        <w:right w:val="none" w:sz="0" w:space="0" w:color="auto"/>
      </w:divBdr>
    </w:div>
    <w:div w:id="691880498">
      <w:bodyDiv w:val="1"/>
      <w:marLeft w:val="0"/>
      <w:marRight w:val="0"/>
      <w:marTop w:val="0"/>
      <w:marBottom w:val="0"/>
      <w:divBdr>
        <w:top w:val="none" w:sz="0" w:space="0" w:color="auto"/>
        <w:left w:val="none" w:sz="0" w:space="0" w:color="auto"/>
        <w:bottom w:val="none" w:sz="0" w:space="0" w:color="auto"/>
        <w:right w:val="none" w:sz="0" w:space="0" w:color="auto"/>
      </w:divBdr>
    </w:div>
    <w:div w:id="777332560">
      <w:bodyDiv w:val="1"/>
      <w:marLeft w:val="0"/>
      <w:marRight w:val="0"/>
      <w:marTop w:val="0"/>
      <w:marBottom w:val="0"/>
      <w:divBdr>
        <w:top w:val="none" w:sz="0" w:space="0" w:color="auto"/>
        <w:left w:val="none" w:sz="0" w:space="0" w:color="auto"/>
        <w:bottom w:val="none" w:sz="0" w:space="0" w:color="auto"/>
        <w:right w:val="none" w:sz="0" w:space="0" w:color="auto"/>
      </w:divBdr>
    </w:div>
    <w:div w:id="832793319">
      <w:bodyDiv w:val="1"/>
      <w:marLeft w:val="0"/>
      <w:marRight w:val="0"/>
      <w:marTop w:val="0"/>
      <w:marBottom w:val="0"/>
      <w:divBdr>
        <w:top w:val="none" w:sz="0" w:space="0" w:color="auto"/>
        <w:left w:val="none" w:sz="0" w:space="0" w:color="auto"/>
        <w:bottom w:val="none" w:sz="0" w:space="0" w:color="auto"/>
        <w:right w:val="none" w:sz="0" w:space="0" w:color="auto"/>
      </w:divBdr>
    </w:div>
    <w:div w:id="854078372">
      <w:bodyDiv w:val="1"/>
      <w:marLeft w:val="0"/>
      <w:marRight w:val="0"/>
      <w:marTop w:val="0"/>
      <w:marBottom w:val="0"/>
      <w:divBdr>
        <w:top w:val="none" w:sz="0" w:space="0" w:color="auto"/>
        <w:left w:val="none" w:sz="0" w:space="0" w:color="auto"/>
        <w:bottom w:val="none" w:sz="0" w:space="0" w:color="auto"/>
        <w:right w:val="none" w:sz="0" w:space="0" w:color="auto"/>
      </w:divBdr>
    </w:div>
    <w:div w:id="942767080">
      <w:bodyDiv w:val="1"/>
      <w:marLeft w:val="0"/>
      <w:marRight w:val="0"/>
      <w:marTop w:val="0"/>
      <w:marBottom w:val="0"/>
      <w:divBdr>
        <w:top w:val="none" w:sz="0" w:space="0" w:color="auto"/>
        <w:left w:val="none" w:sz="0" w:space="0" w:color="auto"/>
        <w:bottom w:val="none" w:sz="0" w:space="0" w:color="auto"/>
        <w:right w:val="none" w:sz="0" w:space="0" w:color="auto"/>
      </w:divBdr>
    </w:div>
    <w:div w:id="971718414">
      <w:bodyDiv w:val="1"/>
      <w:marLeft w:val="0"/>
      <w:marRight w:val="0"/>
      <w:marTop w:val="0"/>
      <w:marBottom w:val="0"/>
      <w:divBdr>
        <w:top w:val="none" w:sz="0" w:space="0" w:color="auto"/>
        <w:left w:val="none" w:sz="0" w:space="0" w:color="auto"/>
        <w:bottom w:val="none" w:sz="0" w:space="0" w:color="auto"/>
        <w:right w:val="none" w:sz="0" w:space="0" w:color="auto"/>
      </w:divBdr>
      <w:divsChild>
        <w:div w:id="1171794447">
          <w:marLeft w:val="288"/>
          <w:marRight w:val="0"/>
          <w:marTop w:val="0"/>
          <w:marBottom w:val="0"/>
          <w:divBdr>
            <w:top w:val="none" w:sz="0" w:space="0" w:color="auto"/>
            <w:left w:val="none" w:sz="0" w:space="0" w:color="auto"/>
            <w:bottom w:val="none" w:sz="0" w:space="0" w:color="auto"/>
            <w:right w:val="none" w:sz="0" w:space="0" w:color="auto"/>
          </w:divBdr>
        </w:div>
        <w:div w:id="554195916">
          <w:marLeft w:val="288"/>
          <w:marRight w:val="0"/>
          <w:marTop w:val="0"/>
          <w:marBottom w:val="0"/>
          <w:divBdr>
            <w:top w:val="none" w:sz="0" w:space="0" w:color="auto"/>
            <w:left w:val="none" w:sz="0" w:space="0" w:color="auto"/>
            <w:bottom w:val="none" w:sz="0" w:space="0" w:color="auto"/>
            <w:right w:val="none" w:sz="0" w:space="0" w:color="auto"/>
          </w:divBdr>
        </w:div>
        <w:div w:id="2057656100">
          <w:marLeft w:val="288"/>
          <w:marRight w:val="0"/>
          <w:marTop w:val="0"/>
          <w:marBottom w:val="0"/>
          <w:divBdr>
            <w:top w:val="none" w:sz="0" w:space="0" w:color="auto"/>
            <w:left w:val="none" w:sz="0" w:space="0" w:color="auto"/>
            <w:bottom w:val="none" w:sz="0" w:space="0" w:color="auto"/>
            <w:right w:val="none" w:sz="0" w:space="0" w:color="auto"/>
          </w:divBdr>
        </w:div>
        <w:div w:id="1702512830">
          <w:marLeft w:val="288"/>
          <w:marRight w:val="0"/>
          <w:marTop w:val="0"/>
          <w:marBottom w:val="0"/>
          <w:divBdr>
            <w:top w:val="none" w:sz="0" w:space="0" w:color="auto"/>
            <w:left w:val="none" w:sz="0" w:space="0" w:color="auto"/>
            <w:bottom w:val="none" w:sz="0" w:space="0" w:color="auto"/>
            <w:right w:val="none" w:sz="0" w:space="0" w:color="auto"/>
          </w:divBdr>
        </w:div>
        <w:div w:id="2080708884">
          <w:marLeft w:val="288"/>
          <w:marRight w:val="0"/>
          <w:marTop w:val="0"/>
          <w:marBottom w:val="0"/>
          <w:divBdr>
            <w:top w:val="none" w:sz="0" w:space="0" w:color="auto"/>
            <w:left w:val="none" w:sz="0" w:space="0" w:color="auto"/>
            <w:bottom w:val="none" w:sz="0" w:space="0" w:color="auto"/>
            <w:right w:val="none" w:sz="0" w:space="0" w:color="auto"/>
          </w:divBdr>
        </w:div>
      </w:divsChild>
    </w:div>
    <w:div w:id="1059523695">
      <w:bodyDiv w:val="1"/>
      <w:marLeft w:val="0"/>
      <w:marRight w:val="0"/>
      <w:marTop w:val="0"/>
      <w:marBottom w:val="0"/>
      <w:divBdr>
        <w:top w:val="none" w:sz="0" w:space="0" w:color="auto"/>
        <w:left w:val="none" w:sz="0" w:space="0" w:color="auto"/>
        <w:bottom w:val="none" w:sz="0" w:space="0" w:color="auto"/>
        <w:right w:val="none" w:sz="0" w:space="0" w:color="auto"/>
      </w:divBdr>
    </w:div>
    <w:div w:id="1063213290">
      <w:bodyDiv w:val="1"/>
      <w:marLeft w:val="0"/>
      <w:marRight w:val="0"/>
      <w:marTop w:val="0"/>
      <w:marBottom w:val="0"/>
      <w:divBdr>
        <w:top w:val="none" w:sz="0" w:space="0" w:color="auto"/>
        <w:left w:val="none" w:sz="0" w:space="0" w:color="auto"/>
        <w:bottom w:val="none" w:sz="0" w:space="0" w:color="auto"/>
        <w:right w:val="none" w:sz="0" w:space="0" w:color="auto"/>
      </w:divBdr>
    </w:div>
    <w:div w:id="1112942703">
      <w:bodyDiv w:val="1"/>
      <w:marLeft w:val="0"/>
      <w:marRight w:val="0"/>
      <w:marTop w:val="0"/>
      <w:marBottom w:val="0"/>
      <w:divBdr>
        <w:top w:val="none" w:sz="0" w:space="0" w:color="auto"/>
        <w:left w:val="none" w:sz="0" w:space="0" w:color="auto"/>
        <w:bottom w:val="none" w:sz="0" w:space="0" w:color="auto"/>
        <w:right w:val="none" w:sz="0" w:space="0" w:color="auto"/>
      </w:divBdr>
    </w:div>
    <w:div w:id="1157258595">
      <w:bodyDiv w:val="1"/>
      <w:marLeft w:val="0"/>
      <w:marRight w:val="0"/>
      <w:marTop w:val="0"/>
      <w:marBottom w:val="0"/>
      <w:divBdr>
        <w:top w:val="none" w:sz="0" w:space="0" w:color="auto"/>
        <w:left w:val="none" w:sz="0" w:space="0" w:color="auto"/>
        <w:bottom w:val="none" w:sz="0" w:space="0" w:color="auto"/>
        <w:right w:val="none" w:sz="0" w:space="0" w:color="auto"/>
      </w:divBdr>
    </w:div>
    <w:div w:id="1158808700">
      <w:bodyDiv w:val="1"/>
      <w:marLeft w:val="0"/>
      <w:marRight w:val="0"/>
      <w:marTop w:val="0"/>
      <w:marBottom w:val="0"/>
      <w:divBdr>
        <w:top w:val="none" w:sz="0" w:space="0" w:color="auto"/>
        <w:left w:val="none" w:sz="0" w:space="0" w:color="auto"/>
        <w:bottom w:val="none" w:sz="0" w:space="0" w:color="auto"/>
        <w:right w:val="none" w:sz="0" w:space="0" w:color="auto"/>
      </w:divBdr>
    </w:div>
    <w:div w:id="1170825997">
      <w:bodyDiv w:val="1"/>
      <w:marLeft w:val="0"/>
      <w:marRight w:val="0"/>
      <w:marTop w:val="0"/>
      <w:marBottom w:val="0"/>
      <w:divBdr>
        <w:top w:val="none" w:sz="0" w:space="0" w:color="auto"/>
        <w:left w:val="none" w:sz="0" w:space="0" w:color="auto"/>
        <w:bottom w:val="none" w:sz="0" w:space="0" w:color="auto"/>
        <w:right w:val="none" w:sz="0" w:space="0" w:color="auto"/>
      </w:divBdr>
    </w:div>
    <w:div w:id="1425807352">
      <w:bodyDiv w:val="1"/>
      <w:marLeft w:val="0"/>
      <w:marRight w:val="0"/>
      <w:marTop w:val="0"/>
      <w:marBottom w:val="0"/>
      <w:divBdr>
        <w:top w:val="none" w:sz="0" w:space="0" w:color="auto"/>
        <w:left w:val="none" w:sz="0" w:space="0" w:color="auto"/>
        <w:bottom w:val="none" w:sz="0" w:space="0" w:color="auto"/>
        <w:right w:val="none" w:sz="0" w:space="0" w:color="auto"/>
      </w:divBdr>
    </w:div>
    <w:div w:id="1442841469">
      <w:bodyDiv w:val="1"/>
      <w:marLeft w:val="0"/>
      <w:marRight w:val="0"/>
      <w:marTop w:val="0"/>
      <w:marBottom w:val="0"/>
      <w:divBdr>
        <w:top w:val="none" w:sz="0" w:space="0" w:color="auto"/>
        <w:left w:val="none" w:sz="0" w:space="0" w:color="auto"/>
        <w:bottom w:val="none" w:sz="0" w:space="0" w:color="auto"/>
        <w:right w:val="none" w:sz="0" w:space="0" w:color="auto"/>
      </w:divBdr>
    </w:div>
    <w:div w:id="1443189513">
      <w:bodyDiv w:val="1"/>
      <w:marLeft w:val="0"/>
      <w:marRight w:val="0"/>
      <w:marTop w:val="0"/>
      <w:marBottom w:val="0"/>
      <w:divBdr>
        <w:top w:val="none" w:sz="0" w:space="0" w:color="auto"/>
        <w:left w:val="none" w:sz="0" w:space="0" w:color="auto"/>
        <w:bottom w:val="none" w:sz="0" w:space="0" w:color="auto"/>
        <w:right w:val="none" w:sz="0" w:space="0" w:color="auto"/>
      </w:divBdr>
    </w:div>
    <w:div w:id="1443381755">
      <w:bodyDiv w:val="1"/>
      <w:marLeft w:val="0"/>
      <w:marRight w:val="0"/>
      <w:marTop w:val="0"/>
      <w:marBottom w:val="0"/>
      <w:divBdr>
        <w:top w:val="none" w:sz="0" w:space="0" w:color="auto"/>
        <w:left w:val="none" w:sz="0" w:space="0" w:color="auto"/>
        <w:bottom w:val="none" w:sz="0" w:space="0" w:color="auto"/>
        <w:right w:val="none" w:sz="0" w:space="0" w:color="auto"/>
      </w:divBdr>
    </w:div>
    <w:div w:id="1472401491">
      <w:bodyDiv w:val="1"/>
      <w:marLeft w:val="0"/>
      <w:marRight w:val="0"/>
      <w:marTop w:val="0"/>
      <w:marBottom w:val="0"/>
      <w:divBdr>
        <w:top w:val="none" w:sz="0" w:space="0" w:color="auto"/>
        <w:left w:val="none" w:sz="0" w:space="0" w:color="auto"/>
        <w:bottom w:val="none" w:sz="0" w:space="0" w:color="auto"/>
        <w:right w:val="none" w:sz="0" w:space="0" w:color="auto"/>
      </w:divBdr>
    </w:div>
    <w:div w:id="1488669611">
      <w:bodyDiv w:val="1"/>
      <w:marLeft w:val="0"/>
      <w:marRight w:val="0"/>
      <w:marTop w:val="0"/>
      <w:marBottom w:val="0"/>
      <w:divBdr>
        <w:top w:val="none" w:sz="0" w:space="0" w:color="auto"/>
        <w:left w:val="none" w:sz="0" w:space="0" w:color="auto"/>
        <w:bottom w:val="none" w:sz="0" w:space="0" w:color="auto"/>
        <w:right w:val="none" w:sz="0" w:space="0" w:color="auto"/>
      </w:divBdr>
    </w:div>
    <w:div w:id="1496148021">
      <w:bodyDiv w:val="1"/>
      <w:marLeft w:val="0"/>
      <w:marRight w:val="0"/>
      <w:marTop w:val="0"/>
      <w:marBottom w:val="0"/>
      <w:divBdr>
        <w:top w:val="none" w:sz="0" w:space="0" w:color="auto"/>
        <w:left w:val="none" w:sz="0" w:space="0" w:color="auto"/>
        <w:bottom w:val="none" w:sz="0" w:space="0" w:color="auto"/>
        <w:right w:val="none" w:sz="0" w:space="0" w:color="auto"/>
      </w:divBdr>
    </w:div>
    <w:div w:id="1663925576">
      <w:bodyDiv w:val="1"/>
      <w:marLeft w:val="0"/>
      <w:marRight w:val="0"/>
      <w:marTop w:val="0"/>
      <w:marBottom w:val="0"/>
      <w:divBdr>
        <w:top w:val="none" w:sz="0" w:space="0" w:color="auto"/>
        <w:left w:val="none" w:sz="0" w:space="0" w:color="auto"/>
        <w:bottom w:val="none" w:sz="0" w:space="0" w:color="auto"/>
        <w:right w:val="none" w:sz="0" w:space="0" w:color="auto"/>
      </w:divBdr>
      <w:divsChild>
        <w:div w:id="1487017771">
          <w:marLeft w:val="288"/>
          <w:marRight w:val="0"/>
          <w:marTop w:val="140"/>
          <w:marBottom w:val="0"/>
          <w:divBdr>
            <w:top w:val="none" w:sz="0" w:space="0" w:color="auto"/>
            <w:left w:val="none" w:sz="0" w:space="0" w:color="auto"/>
            <w:bottom w:val="none" w:sz="0" w:space="0" w:color="auto"/>
            <w:right w:val="none" w:sz="0" w:space="0" w:color="auto"/>
          </w:divBdr>
        </w:div>
        <w:div w:id="949629785">
          <w:marLeft w:val="288"/>
          <w:marRight w:val="0"/>
          <w:marTop w:val="0"/>
          <w:marBottom w:val="0"/>
          <w:divBdr>
            <w:top w:val="none" w:sz="0" w:space="0" w:color="auto"/>
            <w:left w:val="none" w:sz="0" w:space="0" w:color="auto"/>
            <w:bottom w:val="none" w:sz="0" w:space="0" w:color="auto"/>
            <w:right w:val="none" w:sz="0" w:space="0" w:color="auto"/>
          </w:divBdr>
        </w:div>
        <w:div w:id="878586499">
          <w:marLeft w:val="288"/>
          <w:marRight w:val="0"/>
          <w:marTop w:val="0"/>
          <w:marBottom w:val="0"/>
          <w:divBdr>
            <w:top w:val="none" w:sz="0" w:space="0" w:color="auto"/>
            <w:left w:val="none" w:sz="0" w:space="0" w:color="auto"/>
            <w:bottom w:val="none" w:sz="0" w:space="0" w:color="auto"/>
            <w:right w:val="none" w:sz="0" w:space="0" w:color="auto"/>
          </w:divBdr>
        </w:div>
        <w:div w:id="775170821">
          <w:marLeft w:val="288"/>
          <w:marRight w:val="0"/>
          <w:marTop w:val="0"/>
          <w:marBottom w:val="0"/>
          <w:divBdr>
            <w:top w:val="none" w:sz="0" w:space="0" w:color="auto"/>
            <w:left w:val="none" w:sz="0" w:space="0" w:color="auto"/>
            <w:bottom w:val="none" w:sz="0" w:space="0" w:color="auto"/>
            <w:right w:val="none" w:sz="0" w:space="0" w:color="auto"/>
          </w:divBdr>
        </w:div>
        <w:div w:id="1604802433">
          <w:marLeft w:val="288"/>
          <w:marRight w:val="0"/>
          <w:marTop w:val="0"/>
          <w:marBottom w:val="0"/>
          <w:divBdr>
            <w:top w:val="none" w:sz="0" w:space="0" w:color="auto"/>
            <w:left w:val="none" w:sz="0" w:space="0" w:color="auto"/>
            <w:bottom w:val="none" w:sz="0" w:space="0" w:color="auto"/>
            <w:right w:val="none" w:sz="0" w:space="0" w:color="auto"/>
          </w:divBdr>
        </w:div>
        <w:div w:id="1437871298">
          <w:marLeft w:val="288"/>
          <w:marRight w:val="0"/>
          <w:marTop w:val="140"/>
          <w:marBottom w:val="0"/>
          <w:divBdr>
            <w:top w:val="none" w:sz="0" w:space="0" w:color="auto"/>
            <w:left w:val="none" w:sz="0" w:space="0" w:color="auto"/>
            <w:bottom w:val="none" w:sz="0" w:space="0" w:color="auto"/>
            <w:right w:val="none" w:sz="0" w:space="0" w:color="auto"/>
          </w:divBdr>
        </w:div>
        <w:div w:id="1246502207">
          <w:marLeft w:val="288"/>
          <w:marRight w:val="0"/>
          <w:marTop w:val="0"/>
          <w:marBottom w:val="0"/>
          <w:divBdr>
            <w:top w:val="none" w:sz="0" w:space="0" w:color="auto"/>
            <w:left w:val="none" w:sz="0" w:space="0" w:color="auto"/>
            <w:bottom w:val="none" w:sz="0" w:space="0" w:color="auto"/>
            <w:right w:val="none" w:sz="0" w:space="0" w:color="auto"/>
          </w:divBdr>
        </w:div>
        <w:div w:id="1740441740">
          <w:marLeft w:val="288"/>
          <w:marRight w:val="0"/>
          <w:marTop w:val="0"/>
          <w:marBottom w:val="0"/>
          <w:divBdr>
            <w:top w:val="none" w:sz="0" w:space="0" w:color="auto"/>
            <w:left w:val="none" w:sz="0" w:space="0" w:color="auto"/>
            <w:bottom w:val="none" w:sz="0" w:space="0" w:color="auto"/>
            <w:right w:val="none" w:sz="0" w:space="0" w:color="auto"/>
          </w:divBdr>
        </w:div>
        <w:div w:id="1903951958">
          <w:marLeft w:val="288"/>
          <w:marRight w:val="0"/>
          <w:marTop w:val="140"/>
          <w:marBottom w:val="0"/>
          <w:divBdr>
            <w:top w:val="none" w:sz="0" w:space="0" w:color="auto"/>
            <w:left w:val="none" w:sz="0" w:space="0" w:color="auto"/>
            <w:bottom w:val="none" w:sz="0" w:space="0" w:color="auto"/>
            <w:right w:val="none" w:sz="0" w:space="0" w:color="auto"/>
          </w:divBdr>
        </w:div>
        <w:div w:id="732849299">
          <w:marLeft w:val="288"/>
          <w:marRight w:val="0"/>
          <w:marTop w:val="0"/>
          <w:marBottom w:val="0"/>
          <w:divBdr>
            <w:top w:val="none" w:sz="0" w:space="0" w:color="auto"/>
            <w:left w:val="none" w:sz="0" w:space="0" w:color="auto"/>
            <w:bottom w:val="none" w:sz="0" w:space="0" w:color="auto"/>
            <w:right w:val="none" w:sz="0" w:space="0" w:color="auto"/>
          </w:divBdr>
        </w:div>
        <w:div w:id="1808089025">
          <w:marLeft w:val="288"/>
          <w:marRight w:val="0"/>
          <w:marTop w:val="0"/>
          <w:marBottom w:val="0"/>
          <w:divBdr>
            <w:top w:val="none" w:sz="0" w:space="0" w:color="auto"/>
            <w:left w:val="none" w:sz="0" w:space="0" w:color="auto"/>
            <w:bottom w:val="none" w:sz="0" w:space="0" w:color="auto"/>
            <w:right w:val="none" w:sz="0" w:space="0" w:color="auto"/>
          </w:divBdr>
        </w:div>
        <w:div w:id="1060833653">
          <w:marLeft w:val="288"/>
          <w:marRight w:val="0"/>
          <w:marTop w:val="0"/>
          <w:marBottom w:val="0"/>
          <w:divBdr>
            <w:top w:val="none" w:sz="0" w:space="0" w:color="auto"/>
            <w:left w:val="none" w:sz="0" w:space="0" w:color="auto"/>
            <w:bottom w:val="none" w:sz="0" w:space="0" w:color="auto"/>
            <w:right w:val="none" w:sz="0" w:space="0" w:color="auto"/>
          </w:divBdr>
        </w:div>
        <w:div w:id="1675262739">
          <w:marLeft w:val="288"/>
          <w:marRight w:val="0"/>
          <w:marTop w:val="0"/>
          <w:marBottom w:val="0"/>
          <w:divBdr>
            <w:top w:val="none" w:sz="0" w:space="0" w:color="auto"/>
            <w:left w:val="none" w:sz="0" w:space="0" w:color="auto"/>
            <w:bottom w:val="none" w:sz="0" w:space="0" w:color="auto"/>
            <w:right w:val="none" w:sz="0" w:space="0" w:color="auto"/>
          </w:divBdr>
        </w:div>
        <w:div w:id="938609142">
          <w:marLeft w:val="288"/>
          <w:marRight w:val="0"/>
          <w:marTop w:val="140"/>
          <w:marBottom w:val="0"/>
          <w:divBdr>
            <w:top w:val="none" w:sz="0" w:space="0" w:color="auto"/>
            <w:left w:val="none" w:sz="0" w:space="0" w:color="auto"/>
            <w:bottom w:val="none" w:sz="0" w:space="0" w:color="auto"/>
            <w:right w:val="none" w:sz="0" w:space="0" w:color="auto"/>
          </w:divBdr>
        </w:div>
        <w:div w:id="1307708891">
          <w:marLeft w:val="288"/>
          <w:marRight w:val="0"/>
          <w:marTop w:val="0"/>
          <w:marBottom w:val="0"/>
          <w:divBdr>
            <w:top w:val="none" w:sz="0" w:space="0" w:color="auto"/>
            <w:left w:val="none" w:sz="0" w:space="0" w:color="auto"/>
            <w:bottom w:val="none" w:sz="0" w:space="0" w:color="auto"/>
            <w:right w:val="none" w:sz="0" w:space="0" w:color="auto"/>
          </w:divBdr>
        </w:div>
        <w:div w:id="854273590">
          <w:marLeft w:val="288"/>
          <w:marRight w:val="0"/>
          <w:marTop w:val="0"/>
          <w:marBottom w:val="0"/>
          <w:divBdr>
            <w:top w:val="none" w:sz="0" w:space="0" w:color="auto"/>
            <w:left w:val="none" w:sz="0" w:space="0" w:color="auto"/>
            <w:bottom w:val="none" w:sz="0" w:space="0" w:color="auto"/>
            <w:right w:val="none" w:sz="0" w:space="0" w:color="auto"/>
          </w:divBdr>
        </w:div>
        <w:div w:id="1693457664">
          <w:marLeft w:val="288"/>
          <w:marRight w:val="0"/>
          <w:marTop w:val="0"/>
          <w:marBottom w:val="0"/>
          <w:divBdr>
            <w:top w:val="none" w:sz="0" w:space="0" w:color="auto"/>
            <w:left w:val="none" w:sz="0" w:space="0" w:color="auto"/>
            <w:bottom w:val="none" w:sz="0" w:space="0" w:color="auto"/>
            <w:right w:val="none" w:sz="0" w:space="0" w:color="auto"/>
          </w:divBdr>
        </w:div>
        <w:div w:id="1933736978">
          <w:marLeft w:val="288"/>
          <w:marRight w:val="0"/>
          <w:marTop w:val="0"/>
          <w:marBottom w:val="0"/>
          <w:divBdr>
            <w:top w:val="none" w:sz="0" w:space="0" w:color="auto"/>
            <w:left w:val="none" w:sz="0" w:space="0" w:color="auto"/>
            <w:bottom w:val="none" w:sz="0" w:space="0" w:color="auto"/>
            <w:right w:val="none" w:sz="0" w:space="0" w:color="auto"/>
          </w:divBdr>
        </w:div>
        <w:div w:id="928738056">
          <w:marLeft w:val="288"/>
          <w:marRight w:val="0"/>
          <w:marTop w:val="140"/>
          <w:marBottom w:val="0"/>
          <w:divBdr>
            <w:top w:val="none" w:sz="0" w:space="0" w:color="auto"/>
            <w:left w:val="none" w:sz="0" w:space="0" w:color="auto"/>
            <w:bottom w:val="none" w:sz="0" w:space="0" w:color="auto"/>
            <w:right w:val="none" w:sz="0" w:space="0" w:color="auto"/>
          </w:divBdr>
        </w:div>
        <w:div w:id="159128537">
          <w:marLeft w:val="288"/>
          <w:marRight w:val="0"/>
          <w:marTop w:val="0"/>
          <w:marBottom w:val="0"/>
          <w:divBdr>
            <w:top w:val="none" w:sz="0" w:space="0" w:color="auto"/>
            <w:left w:val="none" w:sz="0" w:space="0" w:color="auto"/>
            <w:bottom w:val="none" w:sz="0" w:space="0" w:color="auto"/>
            <w:right w:val="none" w:sz="0" w:space="0" w:color="auto"/>
          </w:divBdr>
        </w:div>
        <w:div w:id="1069769381">
          <w:marLeft w:val="288"/>
          <w:marRight w:val="0"/>
          <w:marTop w:val="0"/>
          <w:marBottom w:val="0"/>
          <w:divBdr>
            <w:top w:val="none" w:sz="0" w:space="0" w:color="auto"/>
            <w:left w:val="none" w:sz="0" w:space="0" w:color="auto"/>
            <w:bottom w:val="none" w:sz="0" w:space="0" w:color="auto"/>
            <w:right w:val="none" w:sz="0" w:space="0" w:color="auto"/>
          </w:divBdr>
        </w:div>
        <w:div w:id="1111975447">
          <w:marLeft w:val="288"/>
          <w:marRight w:val="0"/>
          <w:marTop w:val="0"/>
          <w:marBottom w:val="0"/>
          <w:divBdr>
            <w:top w:val="none" w:sz="0" w:space="0" w:color="auto"/>
            <w:left w:val="none" w:sz="0" w:space="0" w:color="auto"/>
            <w:bottom w:val="none" w:sz="0" w:space="0" w:color="auto"/>
            <w:right w:val="none" w:sz="0" w:space="0" w:color="auto"/>
          </w:divBdr>
        </w:div>
        <w:div w:id="2061008399">
          <w:marLeft w:val="288"/>
          <w:marRight w:val="0"/>
          <w:marTop w:val="0"/>
          <w:marBottom w:val="0"/>
          <w:divBdr>
            <w:top w:val="none" w:sz="0" w:space="0" w:color="auto"/>
            <w:left w:val="none" w:sz="0" w:space="0" w:color="auto"/>
            <w:bottom w:val="none" w:sz="0" w:space="0" w:color="auto"/>
            <w:right w:val="none" w:sz="0" w:space="0" w:color="auto"/>
          </w:divBdr>
        </w:div>
        <w:div w:id="1285162298">
          <w:marLeft w:val="288"/>
          <w:marRight w:val="0"/>
          <w:marTop w:val="140"/>
          <w:marBottom w:val="0"/>
          <w:divBdr>
            <w:top w:val="none" w:sz="0" w:space="0" w:color="auto"/>
            <w:left w:val="none" w:sz="0" w:space="0" w:color="auto"/>
            <w:bottom w:val="none" w:sz="0" w:space="0" w:color="auto"/>
            <w:right w:val="none" w:sz="0" w:space="0" w:color="auto"/>
          </w:divBdr>
        </w:div>
        <w:div w:id="721825631">
          <w:marLeft w:val="288"/>
          <w:marRight w:val="0"/>
          <w:marTop w:val="0"/>
          <w:marBottom w:val="0"/>
          <w:divBdr>
            <w:top w:val="none" w:sz="0" w:space="0" w:color="auto"/>
            <w:left w:val="none" w:sz="0" w:space="0" w:color="auto"/>
            <w:bottom w:val="none" w:sz="0" w:space="0" w:color="auto"/>
            <w:right w:val="none" w:sz="0" w:space="0" w:color="auto"/>
          </w:divBdr>
        </w:div>
        <w:div w:id="2081903734">
          <w:marLeft w:val="288"/>
          <w:marRight w:val="0"/>
          <w:marTop w:val="0"/>
          <w:marBottom w:val="0"/>
          <w:divBdr>
            <w:top w:val="none" w:sz="0" w:space="0" w:color="auto"/>
            <w:left w:val="none" w:sz="0" w:space="0" w:color="auto"/>
            <w:bottom w:val="none" w:sz="0" w:space="0" w:color="auto"/>
            <w:right w:val="none" w:sz="0" w:space="0" w:color="auto"/>
          </w:divBdr>
        </w:div>
        <w:div w:id="673148450">
          <w:marLeft w:val="288"/>
          <w:marRight w:val="0"/>
          <w:marTop w:val="140"/>
          <w:marBottom w:val="0"/>
          <w:divBdr>
            <w:top w:val="none" w:sz="0" w:space="0" w:color="auto"/>
            <w:left w:val="none" w:sz="0" w:space="0" w:color="auto"/>
            <w:bottom w:val="none" w:sz="0" w:space="0" w:color="auto"/>
            <w:right w:val="none" w:sz="0" w:space="0" w:color="auto"/>
          </w:divBdr>
        </w:div>
        <w:div w:id="1959295522">
          <w:marLeft w:val="288"/>
          <w:marRight w:val="0"/>
          <w:marTop w:val="0"/>
          <w:marBottom w:val="0"/>
          <w:divBdr>
            <w:top w:val="none" w:sz="0" w:space="0" w:color="auto"/>
            <w:left w:val="none" w:sz="0" w:space="0" w:color="auto"/>
            <w:bottom w:val="none" w:sz="0" w:space="0" w:color="auto"/>
            <w:right w:val="none" w:sz="0" w:space="0" w:color="auto"/>
          </w:divBdr>
        </w:div>
        <w:div w:id="928272178">
          <w:marLeft w:val="288"/>
          <w:marRight w:val="0"/>
          <w:marTop w:val="0"/>
          <w:marBottom w:val="0"/>
          <w:divBdr>
            <w:top w:val="none" w:sz="0" w:space="0" w:color="auto"/>
            <w:left w:val="none" w:sz="0" w:space="0" w:color="auto"/>
            <w:bottom w:val="none" w:sz="0" w:space="0" w:color="auto"/>
            <w:right w:val="none" w:sz="0" w:space="0" w:color="auto"/>
          </w:divBdr>
        </w:div>
        <w:div w:id="1168903221">
          <w:marLeft w:val="288"/>
          <w:marRight w:val="0"/>
          <w:marTop w:val="140"/>
          <w:marBottom w:val="0"/>
          <w:divBdr>
            <w:top w:val="none" w:sz="0" w:space="0" w:color="auto"/>
            <w:left w:val="none" w:sz="0" w:space="0" w:color="auto"/>
            <w:bottom w:val="none" w:sz="0" w:space="0" w:color="auto"/>
            <w:right w:val="none" w:sz="0" w:space="0" w:color="auto"/>
          </w:divBdr>
        </w:div>
        <w:div w:id="2030833349">
          <w:marLeft w:val="288"/>
          <w:marRight w:val="0"/>
          <w:marTop w:val="0"/>
          <w:marBottom w:val="0"/>
          <w:divBdr>
            <w:top w:val="none" w:sz="0" w:space="0" w:color="auto"/>
            <w:left w:val="none" w:sz="0" w:space="0" w:color="auto"/>
            <w:bottom w:val="none" w:sz="0" w:space="0" w:color="auto"/>
            <w:right w:val="none" w:sz="0" w:space="0" w:color="auto"/>
          </w:divBdr>
        </w:div>
        <w:div w:id="1519929548">
          <w:marLeft w:val="288"/>
          <w:marRight w:val="0"/>
          <w:marTop w:val="0"/>
          <w:marBottom w:val="0"/>
          <w:divBdr>
            <w:top w:val="none" w:sz="0" w:space="0" w:color="auto"/>
            <w:left w:val="none" w:sz="0" w:space="0" w:color="auto"/>
            <w:bottom w:val="none" w:sz="0" w:space="0" w:color="auto"/>
            <w:right w:val="none" w:sz="0" w:space="0" w:color="auto"/>
          </w:divBdr>
        </w:div>
        <w:div w:id="412314899">
          <w:marLeft w:val="288"/>
          <w:marRight w:val="0"/>
          <w:marTop w:val="140"/>
          <w:marBottom w:val="0"/>
          <w:divBdr>
            <w:top w:val="none" w:sz="0" w:space="0" w:color="auto"/>
            <w:left w:val="none" w:sz="0" w:space="0" w:color="auto"/>
            <w:bottom w:val="none" w:sz="0" w:space="0" w:color="auto"/>
            <w:right w:val="none" w:sz="0" w:space="0" w:color="auto"/>
          </w:divBdr>
        </w:div>
        <w:div w:id="1214466070">
          <w:marLeft w:val="288"/>
          <w:marRight w:val="0"/>
          <w:marTop w:val="0"/>
          <w:marBottom w:val="0"/>
          <w:divBdr>
            <w:top w:val="none" w:sz="0" w:space="0" w:color="auto"/>
            <w:left w:val="none" w:sz="0" w:space="0" w:color="auto"/>
            <w:bottom w:val="none" w:sz="0" w:space="0" w:color="auto"/>
            <w:right w:val="none" w:sz="0" w:space="0" w:color="auto"/>
          </w:divBdr>
        </w:div>
        <w:div w:id="692802888">
          <w:marLeft w:val="288"/>
          <w:marRight w:val="0"/>
          <w:marTop w:val="0"/>
          <w:marBottom w:val="0"/>
          <w:divBdr>
            <w:top w:val="none" w:sz="0" w:space="0" w:color="auto"/>
            <w:left w:val="none" w:sz="0" w:space="0" w:color="auto"/>
            <w:bottom w:val="none" w:sz="0" w:space="0" w:color="auto"/>
            <w:right w:val="none" w:sz="0" w:space="0" w:color="auto"/>
          </w:divBdr>
        </w:div>
        <w:div w:id="182323673">
          <w:marLeft w:val="288"/>
          <w:marRight w:val="0"/>
          <w:marTop w:val="140"/>
          <w:marBottom w:val="0"/>
          <w:divBdr>
            <w:top w:val="none" w:sz="0" w:space="0" w:color="auto"/>
            <w:left w:val="none" w:sz="0" w:space="0" w:color="auto"/>
            <w:bottom w:val="none" w:sz="0" w:space="0" w:color="auto"/>
            <w:right w:val="none" w:sz="0" w:space="0" w:color="auto"/>
          </w:divBdr>
        </w:div>
        <w:div w:id="1405878870">
          <w:marLeft w:val="288"/>
          <w:marRight w:val="0"/>
          <w:marTop w:val="0"/>
          <w:marBottom w:val="0"/>
          <w:divBdr>
            <w:top w:val="none" w:sz="0" w:space="0" w:color="auto"/>
            <w:left w:val="none" w:sz="0" w:space="0" w:color="auto"/>
            <w:bottom w:val="none" w:sz="0" w:space="0" w:color="auto"/>
            <w:right w:val="none" w:sz="0" w:space="0" w:color="auto"/>
          </w:divBdr>
        </w:div>
        <w:div w:id="1270621445">
          <w:marLeft w:val="288"/>
          <w:marRight w:val="0"/>
          <w:marTop w:val="0"/>
          <w:marBottom w:val="0"/>
          <w:divBdr>
            <w:top w:val="none" w:sz="0" w:space="0" w:color="auto"/>
            <w:left w:val="none" w:sz="0" w:space="0" w:color="auto"/>
            <w:bottom w:val="none" w:sz="0" w:space="0" w:color="auto"/>
            <w:right w:val="none" w:sz="0" w:space="0" w:color="auto"/>
          </w:divBdr>
        </w:div>
        <w:div w:id="1820926948">
          <w:marLeft w:val="288"/>
          <w:marRight w:val="0"/>
          <w:marTop w:val="0"/>
          <w:marBottom w:val="0"/>
          <w:divBdr>
            <w:top w:val="none" w:sz="0" w:space="0" w:color="auto"/>
            <w:left w:val="none" w:sz="0" w:space="0" w:color="auto"/>
            <w:bottom w:val="none" w:sz="0" w:space="0" w:color="auto"/>
            <w:right w:val="none" w:sz="0" w:space="0" w:color="auto"/>
          </w:divBdr>
        </w:div>
        <w:div w:id="819269374">
          <w:marLeft w:val="288"/>
          <w:marRight w:val="0"/>
          <w:marTop w:val="140"/>
          <w:marBottom w:val="0"/>
          <w:divBdr>
            <w:top w:val="none" w:sz="0" w:space="0" w:color="auto"/>
            <w:left w:val="none" w:sz="0" w:space="0" w:color="auto"/>
            <w:bottom w:val="none" w:sz="0" w:space="0" w:color="auto"/>
            <w:right w:val="none" w:sz="0" w:space="0" w:color="auto"/>
          </w:divBdr>
        </w:div>
        <w:div w:id="1533421363">
          <w:marLeft w:val="288"/>
          <w:marRight w:val="0"/>
          <w:marTop w:val="0"/>
          <w:marBottom w:val="0"/>
          <w:divBdr>
            <w:top w:val="none" w:sz="0" w:space="0" w:color="auto"/>
            <w:left w:val="none" w:sz="0" w:space="0" w:color="auto"/>
            <w:bottom w:val="none" w:sz="0" w:space="0" w:color="auto"/>
            <w:right w:val="none" w:sz="0" w:space="0" w:color="auto"/>
          </w:divBdr>
        </w:div>
        <w:div w:id="1487745194">
          <w:marLeft w:val="288"/>
          <w:marRight w:val="0"/>
          <w:marTop w:val="0"/>
          <w:marBottom w:val="0"/>
          <w:divBdr>
            <w:top w:val="none" w:sz="0" w:space="0" w:color="auto"/>
            <w:left w:val="none" w:sz="0" w:space="0" w:color="auto"/>
            <w:bottom w:val="none" w:sz="0" w:space="0" w:color="auto"/>
            <w:right w:val="none" w:sz="0" w:space="0" w:color="auto"/>
          </w:divBdr>
        </w:div>
        <w:div w:id="1105273210">
          <w:marLeft w:val="288"/>
          <w:marRight w:val="0"/>
          <w:marTop w:val="140"/>
          <w:marBottom w:val="0"/>
          <w:divBdr>
            <w:top w:val="none" w:sz="0" w:space="0" w:color="auto"/>
            <w:left w:val="none" w:sz="0" w:space="0" w:color="auto"/>
            <w:bottom w:val="none" w:sz="0" w:space="0" w:color="auto"/>
            <w:right w:val="none" w:sz="0" w:space="0" w:color="auto"/>
          </w:divBdr>
        </w:div>
        <w:div w:id="847906880">
          <w:marLeft w:val="288"/>
          <w:marRight w:val="0"/>
          <w:marTop w:val="0"/>
          <w:marBottom w:val="0"/>
          <w:divBdr>
            <w:top w:val="none" w:sz="0" w:space="0" w:color="auto"/>
            <w:left w:val="none" w:sz="0" w:space="0" w:color="auto"/>
            <w:bottom w:val="none" w:sz="0" w:space="0" w:color="auto"/>
            <w:right w:val="none" w:sz="0" w:space="0" w:color="auto"/>
          </w:divBdr>
        </w:div>
        <w:div w:id="1529022708">
          <w:marLeft w:val="288"/>
          <w:marRight w:val="0"/>
          <w:marTop w:val="0"/>
          <w:marBottom w:val="0"/>
          <w:divBdr>
            <w:top w:val="none" w:sz="0" w:space="0" w:color="auto"/>
            <w:left w:val="none" w:sz="0" w:space="0" w:color="auto"/>
            <w:bottom w:val="none" w:sz="0" w:space="0" w:color="auto"/>
            <w:right w:val="none" w:sz="0" w:space="0" w:color="auto"/>
          </w:divBdr>
        </w:div>
        <w:div w:id="663361880">
          <w:marLeft w:val="288"/>
          <w:marRight w:val="0"/>
          <w:marTop w:val="140"/>
          <w:marBottom w:val="0"/>
          <w:divBdr>
            <w:top w:val="none" w:sz="0" w:space="0" w:color="auto"/>
            <w:left w:val="none" w:sz="0" w:space="0" w:color="auto"/>
            <w:bottom w:val="none" w:sz="0" w:space="0" w:color="auto"/>
            <w:right w:val="none" w:sz="0" w:space="0" w:color="auto"/>
          </w:divBdr>
        </w:div>
        <w:div w:id="1244144459">
          <w:marLeft w:val="288"/>
          <w:marRight w:val="0"/>
          <w:marTop w:val="0"/>
          <w:marBottom w:val="0"/>
          <w:divBdr>
            <w:top w:val="none" w:sz="0" w:space="0" w:color="auto"/>
            <w:left w:val="none" w:sz="0" w:space="0" w:color="auto"/>
            <w:bottom w:val="none" w:sz="0" w:space="0" w:color="auto"/>
            <w:right w:val="none" w:sz="0" w:space="0" w:color="auto"/>
          </w:divBdr>
        </w:div>
        <w:div w:id="1524708860">
          <w:marLeft w:val="288"/>
          <w:marRight w:val="0"/>
          <w:marTop w:val="0"/>
          <w:marBottom w:val="0"/>
          <w:divBdr>
            <w:top w:val="none" w:sz="0" w:space="0" w:color="auto"/>
            <w:left w:val="none" w:sz="0" w:space="0" w:color="auto"/>
            <w:bottom w:val="none" w:sz="0" w:space="0" w:color="auto"/>
            <w:right w:val="none" w:sz="0" w:space="0" w:color="auto"/>
          </w:divBdr>
        </w:div>
        <w:div w:id="1625035979">
          <w:marLeft w:val="288"/>
          <w:marRight w:val="0"/>
          <w:marTop w:val="140"/>
          <w:marBottom w:val="0"/>
          <w:divBdr>
            <w:top w:val="none" w:sz="0" w:space="0" w:color="auto"/>
            <w:left w:val="none" w:sz="0" w:space="0" w:color="auto"/>
            <w:bottom w:val="none" w:sz="0" w:space="0" w:color="auto"/>
            <w:right w:val="none" w:sz="0" w:space="0" w:color="auto"/>
          </w:divBdr>
        </w:div>
        <w:div w:id="417290577">
          <w:marLeft w:val="288"/>
          <w:marRight w:val="0"/>
          <w:marTop w:val="0"/>
          <w:marBottom w:val="0"/>
          <w:divBdr>
            <w:top w:val="none" w:sz="0" w:space="0" w:color="auto"/>
            <w:left w:val="none" w:sz="0" w:space="0" w:color="auto"/>
            <w:bottom w:val="none" w:sz="0" w:space="0" w:color="auto"/>
            <w:right w:val="none" w:sz="0" w:space="0" w:color="auto"/>
          </w:divBdr>
        </w:div>
        <w:div w:id="748231533">
          <w:marLeft w:val="288"/>
          <w:marRight w:val="0"/>
          <w:marTop w:val="140"/>
          <w:marBottom w:val="0"/>
          <w:divBdr>
            <w:top w:val="none" w:sz="0" w:space="0" w:color="auto"/>
            <w:left w:val="none" w:sz="0" w:space="0" w:color="auto"/>
            <w:bottom w:val="none" w:sz="0" w:space="0" w:color="auto"/>
            <w:right w:val="none" w:sz="0" w:space="0" w:color="auto"/>
          </w:divBdr>
        </w:div>
      </w:divsChild>
    </w:div>
    <w:div w:id="1677073334">
      <w:bodyDiv w:val="1"/>
      <w:marLeft w:val="0"/>
      <w:marRight w:val="0"/>
      <w:marTop w:val="0"/>
      <w:marBottom w:val="0"/>
      <w:divBdr>
        <w:top w:val="none" w:sz="0" w:space="0" w:color="auto"/>
        <w:left w:val="none" w:sz="0" w:space="0" w:color="auto"/>
        <w:bottom w:val="none" w:sz="0" w:space="0" w:color="auto"/>
        <w:right w:val="none" w:sz="0" w:space="0" w:color="auto"/>
      </w:divBdr>
    </w:div>
    <w:div w:id="1702509079">
      <w:bodyDiv w:val="1"/>
      <w:marLeft w:val="0"/>
      <w:marRight w:val="0"/>
      <w:marTop w:val="0"/>
      <w:marBottom w:val="0"/>
      <w:divBdr>
        <w:top w:val="none" w:sz="0" w:space="0" w:color="auto"/>
        <w:left w:val="none" w:sz="0" w:space="0" w:color="auto"/>
        <w:bottom w:val="none" w:sz="0" w:space="0" w:color="auto"/>
        <w:right w:val="none" w:sz="0" w:space="0" w:color="auto"/>
      </w:divBdr>
    </w:div>
    <w:div w:id="1756898761">
      <w:bodyDiv w:val="1"/>
      <w:marLeft w:val="0"/>
      <w:marRight w:val="0"/>
      <w:marTop w:val="0"/>
      <w:marBottom w:val="0"/>
      <w:divBdr>
        <w:top w:val="none" w:sz="0" w:space="0" w:color="auto"/>
        <w:left w:val="none" w:sz="0" w:space="0" w:color="auto"/>
        <w:bottom w:val="none" w:sz="0" w:space="0" w:color="auto"/>
        <w:right w:val="none" w:sz="0" w:space="0" w:color="auto"/>
      </w:divBdr>
      <w:divsChild>
        <w:div w:id="1805079375">
          <w:marLeft w:val="288"/>
          <w:marRight w:val="0"/>
          <w:marTop w:val="60"/>
          <w:marBottom w:val="0"/>
          <w:divBdr>
            <w:top w:val="none" w:sz="0" w:space="0" w:color="auto"/>
            <w:left w:val="none" w:sz="0" w:space="0" w:color="auto"/>
            <w:bottom w:val="none" w:sz="0" w:space="0" w:color="auto"/>
            <w:right w:val="none" w:sz="0" w:space="0" w:color="auto"/>
          </w:divBdr>
        </w:div>
        <w:div w:id="286160710">
          <w:marLeft w:val="288"/>
          <w:marRight w:val="0"/>
          <w:marTop w:val="60"/>
          <w:marBottom w:val="0"/>
          <w:divBdr>
            <w:top w:val="none" w:sz="0" w:space="0" w:color="auto"/>
            <w:left w:val="none" w:sz="0" w:space="0" w:color="auto"/>
            <w:bottom w:val="none" w:sz="0" w:space="0" w:color="auto"/>
            <w:right w:val="none" w:sz="0" w:space="0" w:color="auto"/>
          </w:divBdr>
        </w:div>
        <w:div w:id="1583954830">
          <w:marLeft w:val="288"/>
          <w:marRight w:val="0"/>
          <w:marTop w:val="60"/>
          <w:marBottom w:val="0"/>
          <w:divBdr>
            <w:top w:val="none" w:sz="0" w:space="0" w:color="auto"/>
            <w:left w:val="none" w:sz="0" w:space="0" w:color="auto"/>
            <w:bottom w:val="none" w:sz="0" w:space="0" w:color="auto"/>
            <w:right w:val="none" w:sz="0" w:space="0" w:color="auto"/>
          </w:divBdr>
        </w:div>
        <w:div w:id="434061441">
          <w:marLeft w:val="288"/>
          <w:marRight w:val="0"/>
          <w:marTop w:val="60"/>
          <w:marBottom w:val="0"/>
          <w:divBdr>
            <w:top w:val="none" w:sz="0" w:space="0" w:color="auto"/>
            <w:left w:val="none" w:sz="0" w:space="0" w:color="auto"/>
            <w:bottom w:val="none" w:sz="0" w:space="0" w:color="auto"/>
            <w:right w:val="none" w:sz="0" w:space="0" w:color="auto"/>
          </w:divBdr>
        </w:div>
        <w:div w:id="1729451810">
          <w:marLeft w:val="288"/>
          <w:marRight w:val="0"/>
          <w:marTop w:val="60"/>
          <w:marBottom w:val="0"/>
          <w:divBdr>
            <w:top w:val="none" w:sz="0" w:space="0" w:color="auto"/>
            <w:left w:val="none" w:sz="0" w:space="0" w:color="auto"/>
            <w:bottom w:val="none" w:sz="0" w:space="0" w:color="auto"/>
            <w:right w:val="none" w:sz="0" w:space="0" w:color="auto"/>
          </w:divBdr>
        </w:div>
        <w:div w:id="1200047005">
          <w:marLeft w:val="562"/>
          <w:marRight w:val="0"/>
          <w:marTop w:val="60"/>
          <w:marBottom w:val="0"/>
          <w:divBdr>
            <w:top w:val="none" w:sz="0" w:space="0" w:color="auto"/>
            <w:left w:val="none" w:sz="0" w:space="0" w:color="auto"/>
            <w:bottom w:val="none" w:sz="0" w:space="0" w:color="auto"/>
            <w:right w:val="none" w:sz="0" w:space="0" w:color="auto"/>
          </w:divBdr>
        </w:div>
        <w:div w:id="1851136712">
          <w:marLeft w:val="562"/>
          <w:marRight w:val="0"/>
          <w:marTop w:val="60"/>
          <w:marBottom w:val="0"/>
          <w:divBdr>
            <w:top w:val="none" w:sz="0" w:space="0" w:color="auto"/>
            <w:left w:val="none" w:sz="0" w:space="0" w:color="auto"/>
            <w:bottom w:val="none" w:sz="0" w:space="0" w:color="auto"/>
            <w:right w:val="none" w:sz="0" w:space="0" w:color="auto"/>
          </w:divBdr>
        </w:div>
        <w:div w:id="771783023">
          <w:marLeft w:val="288"/>
          <w:marRight w:val="0"/>
          <w:marTop w:val="140"/>
          <w:marBottom w:val="0"/>
          <w:divBdr>
            <w:top w:val="none" w:sz="0" w:space="0" w:color="auto"/>
            <w:left w:val="none" w:sz="0" w:space="0" w:color="auto"/>
            <w:bottom w:val="none" w:sz="0" w:space="0" w:color="auto"/>
            <w:right w:val="none" w:sz="0" w:space="0" w:color="auto"/>
          </w:divBdr>
        </w:div>
      </w:divsChild>
    </w:div>
    <w:div w:id="1776320012">
      <w:bodyDiv w:val="1"/>
      <w:marLeft w:val="0"/>
      <w:marRight w:val="0"/>
      <w:marTop w:val="0"/>
      <w:marBottom w:val="0"/>
      <w:divBdr>
        <w:top w:val="none" w:sz="0" w:space="0" w:color="auto"/>
        <w:left w:val="none" w:sz="0" w:space="0" w:color="auto"/>
        <w:bottom w:val="none" w:sz="0" w:space="0" w:color="auto"/>
        <w:right w:val="none" w:sz="0" w:space="0" w:color="auto"/>
      </w:divBdr>
    </w:div>
    <w:div w:id="1778940377">
      <w:bodyDiv w:val="1"/>
      <w:marLeft w:val="0"/>
      <w:marRight w:val="0"/>
      <w:marTop w:val="0"/>
      <w:marBottom w:val="0"/>
      <w:divBdr>
        <w:top w:val="none" w:sz="0" w:space="0" w:color="auto"/>
        <w:left w:val="none" w:sz="0" w:space="0" w:color="auto"/>
        <w:bottom w:val="none" w:sz="0" w:space="0" w:color="auto"/>
        <w:right w:val="none" w:sz="0" w:space="0" w:color="auto"/>
      </w:divBdr>
    </w:div>
    <w:div w:id="1891383049">
      <w:bodyDiv w:val="1"/>
      <w:marLeft w:val="0"/>
      <w:marRight w:val="0"/>
      <w:marTop w:val="0"/>
      <w:marBottom w:val="0"/>
      <w:divBdr>
        <w:top w:val="none" w:sz="0" w:space="0" w:color="auto"/>
        <w:left w:val="none" w:sz="0" w:space="0" w:color="auto"/>
        <w:bottom w:val="none" w:sz="0" w:space="0" w:color="auto"/>
        <w:right w:val="none" w:sz="0" w:space="0" w:color="auto"/>
      </w:divBdr>
    </w:div>
    <w:div w:id="1907909611">
      <w:bodyDiv w:val="1"/>
      <w:marLeft w:val="0"/>
      <w:marRight w:val="0"/>
      <w:marTop w:val="0"/>
      <w:marBottom w:val="0"/>
      <w:divBdr>
        <w:top w:val="none" w:sz="0" w:space="0" w:color="auto"/>
        <w:left w:val="none" w:sz="0" w:space="0" w:color="auto"/>
        <w:bottom w:val="none" w:sz="0" w:space="0" w:color="auto"/>
        <w:right w:val="none" w:sz="0" w:space="0" w:color="auto"/>
      </w:divBdr>
    </w:div>
    <w:div w:id="1912886437">
      <w:bodyDiv w:val="1"/>
      <w:marLeft w:val="0"/>
      <w:marRight w:val="0"/>
      <w:marTop w:val="0"/>
      <w:marBottom w:val="0"/>
      <w:divBdr>
        <w:top w:val="none" w:sz="0" w:space="0" w:color="auto"/>
        <w:left w:val="none" w:sz="0" w:space="0" w:color="auto"/>
        <w:bottom w:val="none" w:sz="0" w:space="0" w:color="auto"/>
        <w:right w:val="none" w:sz="0" w:space="0" w:color="auto"/>
      </w:divBdr>
    </w:div>
    <w:div w:id="1923442548">
      <w:bodyDiv w:val="1"/>
      <w:marLeft w:val="0"/>
      <w:marRight w:val="0"/>
      <w:marTop w:val="0"/>
      <w:marBottom w:val="0"/>
      <w:divBdr>
        <w:top w:val="none" w:sz="0" w:space="0" w:color="auto"/>
        <w:left w:val="none" w:sz="0" w:space="0" w:color="auto"/>
        <w:bottom w:val="none" w:sz="0" w:space="0" w:color="auto"/>
        <w:right w:val="none" w:sz="0" w:space="0" w:color="auto"/>
      </w:divBdr>
    </w:div>
    <w:div w:id="1928537530">
      <w:bodyDiv w:val="1"/>
      <w:marLeft w:val="0"/>
      <w:marRight w:val="0"/>
      <w:marTop w:val="0"/>
      <w:marBottom w:val="0"/>
      <w:divBdr>
        <w:top w:val="none" w:sz="0" w:space="0" w:color="auto"/>
        <w:left w:val="none" w:sz="0" w:space="0" w:color="auto"/>
        <w:bottom w:val="none" w:sz="0" w:space="0" w:color="auto"/>
        <w:right w:val="none" w:sz="0" w:space="0" w:color="auto"/>
      </w:divBdr>
    </w:div>
    <w:div w:id="1954285740">
      <w:bodyDiv w:val="1"/>
      <w:marLeft w:val="0"/>
      <w:marRight w:val="0"/>
      <w:marTop w:val="0"/>
      <w:marBottom w:val="0"/>
      <w:divBdr>
        <w:top w:val="none" w:sz="0" w:space="0" w:color="auto"/>
        <w:left w:val="none" w:sz="0" w:space="0" w:color="auto"/>
        <w:bottom w:val="none" w:sz="0" w:space="0" w:color="auto"/>
        <w:right w:val="none" w:sz="0" w:space="0" w:color="auto"/>
      </w:divBdr>
    </w:div>
    <w:div w:id="2033647625">
      <w:bodyDiv w:val="1"/>
      <w:marLeft w:val="0"/>
      <w:marRight w:val="0"/>
      <w:marTop w:val="0"/>
      <w:marBottom w:val="0"/>
      <w:divBdr>
        <w:top w:val="none" w:sz="0" w:space="0" w:color="auto"/>
        <w:left w:val="none" w:sz="0" w:space="0" w:color="auto"/>
        <w:bottom w:val="none" w:sz="0" w:space="0" w:color="auto"/>
        <w:right w:val="none" w:sz="0" w:space="0" w:color="auto"/>
      </w:divBdr>
    </w:div>
    <w:div w:id="2075397435">
      <w:bodyDiv w:val="1"/>
      <w:marLeft w:val="0"/>
      <w:marRight w:val="0"/>
      <w:marTop w:val="0"/>
      <w:marBottom w:val="0"/>
      <w:divBdr>
        <w:top w:val="none" w:sz="0" w:space="0" w:color="auto"/>
        <w:left w:val="none" w:sz="0" w:space="0" w:color="auto"/>
        <w:bottom w:val="none" w:sz="0" w:space="0" w:color="auto"/>
        <w:right w:val="none" w:sz="0" w:space="0" w:color="auto"/>
      </w:divBdr>
    </w:div>
    <w:div w:id="21393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Nasdaq Document Theme">
  <a:themeElements>
    <a:clrScheme name="Nasdaq Colours">
      <a:dk1>
        <a:srgbClr val="000000"/>
      </a:dk1>
      <a:lt1>
        <a:srgbClr val="FFFFFF"/>
      </a:lt1>
      <a:dk2>
        <a:srgbClr val="009EC2"/>
      </a:dk2>
      <a:lt2>
        <a:srgbClr val="FFFFFF"/>
      </a:lt2>
      <a:accent1>
        <a:srgbClr val="E36F1E"/>
      </a:accent1>
      <a:accent2>
        <a:srgbClr val="387C2C"/>
      </a:accent2>
      <a:accent3>
        <a:srgbClr val="006A51"/>
      </a:accent3>
      <a:accent4>
        <a:srgbClr val="00538A"/>
      </a:accent4>
      <a:accent5>
        <a:srgbClr val="4F2683"/>
      </a:accent5>
      <a:accent6>
        <a:srgbClr val="850C70"/>
      </a:accent6>
      <a:hlink>
        <a:srgbClr val="009EC2"/>
      </a:hlink>
      <a:folHlink>
        <a:srgbClr val="009EC2"/>
      </a:folHlink>
    </a:clrScheme>
    <a:fontScheme name="Custom 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48A5B3E5FC54A8BA60563AD7E0DF6" ma:contentTypeVersion="11" ma:contentTypeDescription="Create a new document." ma:contentTypeScope="" ma:versionID="08ac9cedaa6be384bd22e415b06243ec">
  <xsd:schema xmlns:xsd="http://www.w3.org/2001/XMLSchema" xmlns:xs="http://www.w3.org/2001/XMLSchema" xmlns:p="http://schemas.microsoft.com/office/2006/metadata/properties" xmlns:ns2="2e4eaf39-fb43-4d6b-af27-59b765156e2c" xmlns:ns3="c44d36b0-fc2c-4641-929e-7c1276e8f654" targetNamespace="http://schemas.microsoft.com/office/2006/metadata/properties" ma:root="true" ma:fieldsID="4e0c57aee9287fa6222dd92767f0d011" ns2:_="" ns3:_="">
    <xsd:import namespace="2e4eaf39-fb43-4d6b-af27-59b765156e2c"/>
    <xsd:import namespace="c44d36b0-fc2c-4641-929e-7c1276e8f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eaf39-fb43-4d6b-af27-59b76515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d36b0-fc2c-4641-929e-7c1276e8f6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7859C3-46B6-40F2-A34F-DEBBC110D1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97F092-B524-4079-BF72-BB6AD8A3E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eaf39-fb43-4d6b-af27-59b765156e2c"/>
    <ds:schemaRef ds:uri="c44d36b0-fc2c-4641-929e-7c1276e8f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1838F-9EF3-4A74-AB12-9BA126B5B9A2}">
  <ds:schemaRefs>
    <ds:schemaRef ds:uri="http://schemas.openxmlformats.org/officeDocument/2006/bibliography"/>
  </ds:schemaRefs>
</ds:datastoreItem>
</file>

<file path=customXml/itemProps5.xml><?xml version="1.0" encoding="utf-8"?>
<ds:datastoreItem xmlns:ds="http://schemas.openxmlformats.org/officeDocument/2006/customXml" ds:itemID="{3F06E9D1-40A3-4AAC-890C-61A8CC923D5E}">
  <ds:schemaRefs>
    <ds:schemaRef ds:uri="http://schemas.microsoft.com/sharepoint/v3/contenttype/forms"/>
  </ds:schemaRefs>
</ds:datastoreItem>
</file>

<file path=docMetadata/LabelInfo.xml><?xml version="1.0" encoding="utf-8"?>
<clbl:labelList xmlns:clbl="http://schemas.microsoft.com/office/2020/mipLabelMetadata">
  <clbl:label id="{fe63fdbc-9223-49ac-a12c-b8ae101f8b2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20</Pages>
  <Words>6260</Words>
  <Characters>33178</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CCaR Model Documentation</vt:lpstr>
    </vt:vector>
  </TitlesOfParts>
  <Company>The Nasdaq OMX Group, Inc.</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CCaR Model Documentation</dc:title>
  <dc:creator>Laestadius, Lovisa</dc:creator>
  <cp:lastModifiedBy>Andreas Strandberg Kieri</cp:lastModifiedBy>
  <cp:revision>11</cp:revision>
  <cp:lastPrinted>2025-11-20T14:20:00Z</cp:lastPrinted>
  <dcterms:created xsi:type="dcterms:W3CDTF">2025-03-13T09:04:00Z</dcterms:created>
  <dcterms:modified xsi:type="dcterms:W3CDTF">2026-06-22T12:52:00Z</dcterms:modified>
  <cp:category>17</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ContentTypeId">
    <vt:lpwstr>0x010100D8948A5B3E5FC54A8BA60563AD7E0DF6</vt:lpwstr>
  </property>
  <property fmtid="{D5CDD505-2E9C-101B-9397-08002B2CF9AE}" pid="4" name="ClassificationContentMarkingFooterShapeIds">
    <vt:lpwstr>98b0e0c,27ed7e3e,5cea3b8c,215f51d1,29b3a844,3d1352af</vt:lpwstr>
  </property>
  <property fmtid="{D5CDD505-2E9C-101B-9397-08002B2CF9AE}" pid="5" name="ClassificationContentMarkingFooterFontProps">
    <vt:lpwstr>#000000,12,Calibri</vt:lpwstr>
  </property>
  <property fmtid="{D5CDD505-2E9C-101B-9397-08002B2CF9AE}" pid="6" name="ClassificationContentMarkingFooterText">
    <vt:lpwstr>Nasdaq - Internal Use: Distribution limited to Nasdaq personnel and authorized third parties subject to confidentiality obligations</vt:lpwstr>
  </property>
</Properties>
</file>