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2421F" w14:textId="046224D7" w:rsidR="00B46B2D" w:rsidRPr="005B2A08" w:rsidRDefault="00580DF7" w:rsidP="00580DF7">
      <w:pPr>
        <w:pStyle w:val="Heading1"/>
        <w:spacing w:before="0" w:after="240"/>
        <w:ind w:hanging="5"/>
        <w:jc w:val="both"/>
        <w:rPr>
          <w:rFonts w:ascii="Inter" w:hAnsi="Inter"/>
          <w:b/>
          <w:bCs/>
          <w:color w:val="auto"/>
          <w:sz w:val="28"/>
          <w:szCs w:val="28"/>
        </w:rPr>
      </w:pPr>
      <w:bookmarkStart w:id="0" w:name="_Toc104207899"/>
      <w:r w:rsidRPr="00580DF7">
        <w:rPr>
          <w:rFonts w:ascii="Inter" w:hAnsi="Inter"/>
          <w:b/>
          <w:bCs/>
          <w:color w:val="auto"/>
          <w:sz w:val="28"/>
          <w:szCs w:val="28"/>
          <w:lang w:eastAsia="sv-SE"/>
        </w:rPr>
        <w:t>Nasdaq First North Copenhagen and Stockholm – Structured Products Rulebook</w:t>
      </w:r>
      <w:r w:rsidR="00333AF1">
        <w:rPr>
          <w:rFonts w:ascii="Inter" w:hAnsi="Inter"/>
          <w:b/>
          <w:bCs/>
          <w:color w:val="auto"/>
          <w:sz w:val="28"/>
          <w:szCs w:val="28"/>
          <w:lang w:eastAsia="sv-SE"/>
        </w:rPr>
        <w:t xml:space="preserve">, </w:t>
      </w:r>
      <w:r w:rsidR="00B46B2D" w:rsidRPr="005B2A08">
        <w:rPr>
          <w:rFonts w:ascii="Inter" w:hAnsi="Inter"/>
          <w:b/>
          <w:bCs/>
          <w:color w:val="auto"/>
          <w:sz w:val="28"/>
          <w:szCs w:val="28"/>
          <w:lang w:eastAsia="sv-SE"/>
        </w:rPr>
        <w:t>Appendix A</w:t>
      </w:r>
      <w:bookmarkEnd w:id="0"/>
      <w:r w:rsidR="00A94209" w:rsidRPr="005B2A08">
        <w:rPr>
          <w:rFonts w:ascii="Inter" w:hAnsi="Inter"/>
          <w:b/>
          <w:bCs/>
          <w:color w:val="auto"/>
          <w:sz w:val="28"/>
          <w:szCs w:val="28"/>
          <w:lang w:eastAsia="sv-SE"/>
        </w:rPr>
        <w:t xml:space="preserve"> – Listing Document Checklist</w:t>
      </w:r>
    </w:p>
    <w:p w14:paraId="000F5B5C" w14:textId="77777777" w:rsidR="00B46B2D" w:rsidRPr="005B2A08" w:rsidRDefault="00B46B2D" w:rsidP="0011030C">
      <w:pPr>
        <w:spacing w:line="240" w:lineRule="auto"/>
        <w:jc w:val="both"/>
        <w:textAlignment w:val="baseline"/>
        <w:rPr>
          <w:rFonts w:ascii="Inter" w:hAnsi="Inter" w:cs="Segoe UI"/>
          <w:sz w:val="20"/>
          <w:lang w:eastAsia="sv-SE"/>
        </w:rPr>
      </w:pPr>
      <w:r w:rsidRPr="005B2A08">
        <w:rPr>
          <w:rFonts w:ascii="Inter" w:hAnsi="Inter"/>
          <w:sz w:val="20"/>
          <w:lang w:eastAsia="sv-SE"/>
        </w:rPr>
        <w:t>This appendix must be submitted when applying to register the Listing Document on a yearly basis. For each paragraph, please submit a link and page reference to the Listing Document (or other document(s) incorporated by reference) which includes the required contents detailed in the Rulebook. </w:t>
      </w:r>
    </w:p>
    <w:p w14:paraId="68307F75" w14:textId="77777777" w:rsidR="00B46B2D" w:rsidRPr="005B2A08" w:rsidRDefault="00B46B2D" w:rsidP="00B46B2D">
      <w:pPr>
        <w:spacing w:line="240" w:lineRule="auto"/>
        <w:textAlignment w:val="baseline"/>
        <w:rPr>
          <w:rFonts w:ascii="Inter" w:hAnsi="Inter" w:cs="Segoe UI"/>
          <w:sz w:val="20"/>
          <w:lang w:eastAsia="sv-SE"/>
        </w:rPr>
      </w:pPr>
      <w:r w:rsidRPr="005B2A08">
        <w:rPr>
          <w:rFonts w:ascii="Inter" w:hAnsi="Inter"/>
          <w:sz w:val="20"/>
          <w:lang w:eastAsia="sv-SE"/>
        </w:rPr>
        <w:t> </w:t>
      </w:r>
    </w:p>
    <w:tbl>
      <w:tblPr>
        <w:tblW w:w="89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3"/>
        <w:gridCol w:w="1866"/>
        <w:gridCol w:w="3538"/>
      </w:tblGrid>
      <w:tr w:rsidR="00B46B2D" w:rsidRPr="005B2A08" w14:paraId="418CCDE5" w14:textId="77777777" w:rsidTr="003F0491">
        <w:trPr>
          <w:trHeight w:val="300"/>
        </w:trPr>
        <w:tc>
          <w:tcPr>
            <w:tcW w:w="3513" w:type="dxa"/>
            <w:tcBorders>
              <w:top w:val="single" w:sz="6" w:space="0" w:color="auto"/>
              <w:left w:val="single" w:sz="6" w:space="0" w:color="auto"/>
              <w:bottom w:val="single" w:sz="6" w:space="0" w:color="auto"/>
              <w:right w:val="single" w:sz="6" w:space="0" w:color="auto"/>
            </w:tcBorders>
            <w:shd w:val="clear" w:color="auto" w:fill="3B3838" w:themeFill="background2" w:themeFillShade="40"/>
            <w:vAlign w:val="bottom"/>
            <w:hideMark/>
          </w:tcPr>
          <w:p w14:paraId="27969DB3" w14:textId="77777777" w:rsidR="00B46B2D" w:rsidRPr="005B2A08" w:rsidRDefault="00B46B2D" w:rsidP="00440340">
            <w:pPr>
              <w:spacing w:line="240" w:lineRule="auto"/>
              <w:textAlignment w:val="baseline"/>
              <w:rPr>
                <w:rFonts w:ascii="Inter" w:hAnsi="Inter"/>
                <w:color w:val="FFFFFF" w:themeColor="background1"/>
                <w:sz w:val="20"/>
                <w:lang w:val="sv-SE" w:eastAsia="sv-SE"/>
              </w:rPr>
            </w:pPr>
            <w:r w:rsidRPr="005B2A08">
              <w:rPr>
                <w:rFonts w:ascii="Inter" w:hAnsi="Inter" w:cs="Arial"/>
                <w:color w:val="FFFFFF" w:themeColor="background1"/>
                <w:sz w:val="20"/>
                <w:lang w:eastAsia="sv-SE"/>
              </w:rPr>
              <w:t> </w:t>
            </w:r>
            <w:r w:rsidRPr="005B2A08">
              <w:rPr>
                <w:rFonts w:ascii="Inter" w:hAnsi="Inter"/>
                <w:color w:val="FFFFFF" w:themeColor="background1"/>
                <w:sz w:val="20"/>
                <w:lang w:val="sv-SE" w:eastAsia="sv-SE"/>
              </w:rPr>
              <w:t> </w:t>
            </w:r>
          </w:p>
        </w:tc>
        <w:tc>
          <w:tcPr>
            <w:tcW w:w="5404" w:type="dxa"/>
            <w:gridSpan w:val="2"/>
            <w:tcBorders>
              <w:top w:val="single" w:sz="6" w:space="0" w:color="auto"/>
              <w:left w:val="nil"/>
              <w:bottom w:val="single" w:sz="6" w:space="0" w:color="auto"/>
              <w:right w:val="single" w:sz="6" w:space="0" w:color="auto"/>
            </w:tcBorders>
            <w:shd w:val="clear" w:color="auto" w:fill="3B3838" w:themeFill="background2" w:themeFillShade="40"/>
            <w:vAlign w:val="bottom"/>
            <w:hideMark/>
          </w:tcPr>
          <w:p w14:paraId="582C963F" w14:textId="609B4F2B" w:rsidR="00B46B2D" w:rsidRPr="00580DF7" w:rsidRDefault="005B2A08" w:rsidP="00440340">
            <w:pPr>
              <w:spacing w:line="240" w:lineRule="auto"/>
              <w:textAlignment w:val="baseline"/>
              <w:rPr>
                <w:rFonts w:ascii="Inter" w:hAnsi="Inter"/>
                <w:color w:val="FFFFFF" w:themeColor="background1"/>
                <w:sz w:val="20"/>
                <w:lang w:val="da-DK" w:eastAsia="sv-SE"/>
              </w:rPr>
            </w:pPr>
            <w:r w:rsidRPr="005B2A08">
              <w:rPr>
                <w:rFonts w:ascii="Inter" w:hAnsi="Inter"/>
                <w:b/>
                <w:bCs/>
                <w:color w:val="FFFFFF" w:themeColor="background1"/>
                <w:sz w:val="20"/>
                <w:lang w:val="da-DK" w:eastAsia="sv-SE"/>
              </w:rPr>
              <w:t xml:space="preserve">Relevant </w:t>
            </w:r>
            <w:r w:rsidR="00B46B2D" w:rsidRPr="005B2A08">
              <w:rPr>
                <w:rFonts w:ascii="Inter" w:hAnsi="Inter"/>
                <w:b/>
                <w:bCs/>
                <w:color w:val="FFFFFF" w:themeColor="background1"/>
                <w:sz w:val="20"/>
                <w:lang w:val="da-DK" w:eastAsia="sv-SE"/>
              </w:rPr>
              <w:t>document(s)</w:t>
            </w:r>
            <w:r w:rsidR="00580DF7">
              <w:rPr>
                <w:rFonts w:ascii="Inter" w:hAnsi="Inter"/>
                <w:b/>
                <w:bCs/>
                <w:color w:val="FFFFFF" w:themeColor="background1"/>
                <w:sz w:val="20"/>
                <w:lang w:val="da-DK" w:eastAsia="sv-SE"/>
              </w:rPr>
              <w:t>, including links</w:t>
            </w:r>
          </w:p>
        </w:tc>
      </w:tr>
      <w:tr w:rsidR="00B46B2D" w:rsidRPr="005B2A08" w14:paraId="279E153A" w14:textId="77777777" w:rsidTr="0011030C">
        <w:trPr>
          <w:trHeight w:val="480"/>
        </w:trPr>
        <w:tc>
          <w:tcPr>
            <w:tcW w:w="3513" w:type="dxa"/>
            <w:tcBorders>
              <w:top w:val="nil"/>
              <w:left w:val="single" w:sz="6" w:space="0" w:color="auto"/>
              <w:bottom w:val="single" w:sz="6" w:space="0" w:color="auto"/>
              <w:right w:val="single" w:sz="6" w:space="0" w:color="auto"/>
            </w:tcBorders>
            <w:hideMark/>
          </w:tcPr>
          <w:p w14:paraId="51C3B051" w14:textId="77777777" w:rsidR="00B46B2D" w:rsidRPr="005B2A08" w:rsidRDefault="00B46B2D" w:rsidP="00440340">
            <w:pPr>
              <w:spacing w:line="240" w:lineRule="auto"/>
              <w:textAlignment w:val="baseline"/>
              <w:rPr>
                <w:rFonts w:ascii="Inter" w:hAnsi="Inter"/>
                <w:sz w:val="20"/>
                <w:lang w:val="sv-SE" w:eastAsia="sv-SE"/>
              </w:rPr>
            </w:pPr>
            <w:r w:rsidRPr="005B2A08">
              <w:rPr>
                <w:rFonts w:ascii="Inter" w:hAnsi="Inter"/>
                <w:sz w:val="20"/>
                <w:lang w:val="da-DK" w:eastAsia="sv-SE"/>
              </w:rPr>
              <w:t>Listing Document</w:t>
            </w:r>
            <w:r w:rsidRPr="005B2A08">
              <w:rPr>
                <w:rFonts w:ascii="Inter" w:hAnsi="Inter"/>
                <w:sz w:val="20"/>
                <w:lang w:val="sv-SE" w:eastAsia="sv-SE"/>
              </w:rPr>
              <w:t> </w:t>
            </w:r>
          </w:p>
        </w:tc>
        <w:tc>
          <w:tcPr>
            <w:tcW w:w="5404" w:type="dxa"/>
            <w:gridSpan w:val="2"/>
            <w:tcBorders>
              <w:top w:val="nil"/>
              <w:left w:val="nil"/>
              <w:bottom w:val="single" w:sz="6" w:space="0" w:color="auto"/>
              <w:right w:val="single" w:sz="6" w:space="0" w:color="auto"/>
            </w:tcBorders>
            <w:vAlign w:val="bottom"/>
            <w:hideMark/>
          </w:tcPr>
          <w:p w14:paraId="5B50035E" w14:textId="77777777" w:rsidR="00B46B2D" w:rsidRPr="005B2A08" w:rsidRDefault="00B46B2D" w:rsidP="00440340">
            <w:pPr>
              <w:spacing w:line="240" w:lineRule="auto"/>
              <w:jc w:val="center"/>
              <w:textAlignment w:val="baseline"/>
              <w:rPr>
                <w:rFonts w:ascii="Inter" w:hAnsi="Inter"/>
                <w:sz w:val="20"/>
                <w:lang w:val="sv-SE" w:eastAsia="sv-SE"/>
              </w:rPr>
            </w:pPr>
            <w:r w:rsidRPr="005B2A08">
              <w:rPr>
                <w:rFonts w:ascii="Inter" w:hAnsi="Inter"/>
                <w:sz w:val="20"/>
                <w:lang w:val="sv-SE" w:eastAsia="sv-SE"/>
              </w:rPr>
              <w:t> </w:t>
            </w:r>
          </w:p>
        </w:tc>
      </w:tr>
      <w:tr w:rsidR="00B46B2D" w:rsidRPr="005B2A08" w14:paraId="0EAA863B" w14:textId="77777777" w:rsidTr="00892316">
        <w:trPr>
          <w:trHeight w:val="300"/>
        </w:trPr>
        <w:tc>
          <w:tcPr>
            <w:tcW w:w="3513" w:type="dxa"/>
            <w:tcBorders>
              <w:top w:val="nil"/>
              <w:left w:val="nil"/>
              <w:bottom w:val="nil"/>
              <w:right w:val="nil"/>
            </w:tcBorders>
            <w:vAlign w:val="bottom"/>
            <w:hideMark/>
          </w:tcPr>
          <w:p w14:paraId="76A11102" w14:textId="77777777" w:rsidR="00B46B2D" w:rsidRPr="005B2A08" w:rsidRDefault="00B46B2D" w:rsidP="00440340">
            <w:pPr>
              <w:spacing w:line="240" w:lineRule="auto"/>
              <w:textAlignment w:val="baseline"/>
              <w:rPr>
                <w:rFonts w:ascii="Inter" w:hAnsi="Inter"/>
                <w:sz w:val="20"/>
                <w:lang w:val="sv-SE" w:eastAsia="sv-SE"/>
              </w:rPr>
            </w:pPr>
            <w:r w:rsidRPr="005B2A08">
              <w:rPr>
                <w:rFonts w:ascii="Inter" w:hAnsi="Inter"/>
                <w:sz w:val="20"/>
                <w:lang w:val="sv-SE" w:eastAsia="sv-SE"/>
              </w:rPr>
              <w:t> </w:t>
            </w:r>
          </w:p>
        </w:tc>
        <w:tc>
          <w:tcPr>
            <w:tcW w:w="1866" w:type="dxa"/>
            <w:tcBorders>
              <w:top w:val="nil"/>
              <w:left w:val="nil"/>
              <w:bottom w:val="nil"/>
              <w:right w:val="nil"/>
            </w:tcBorders>
            <w:vAlign w:val="bottom"/>
            <w:hideMark/>
          </w:tcPr>
          <w:p w14:paraId="1C1669BF" w14:textId="77777777" w:rsidR="00B46B2D" w:rsidRPr="005B2A08" w:rsidRDefault="00B46B2D" w:rsidP="00440340">
            <w:pPr>
              <w:spacing w:line="240" w:lineRule="auto"/>
              <w:textAlignment w:val="baseline"/>
              <w:rPr>
                <w:rFonts w:ascii="Inter" w:hAnsi="Inter"/>
                <w:sz w:val="20"/>
                <w:lang w:val="sv-SE" w:eastAsia="sv-SE"/>
              </w:rPr>
            </w:pPr>
            <w:r w:rsidRPr="005B2A08">
              <w:rPr>
                <w:rFonts w:ascii="Inter" w:hAnsi="Inter"/>
                <w:sz w:val="20"/>
                <w:lang w:val="sv-SE" w:eastAsia="sv-SE"/>
              </w:rPr>
              <w:t> </w:t>
            </w:r>
          </w:p>
        </w:tc>
        <w:tc>
          <w:tcPr>
            <w:tcW w:w="3538" w:type="dxa"/>
            <w:tcBorders>
              <w:top w:val="nil"/>
              <w:left w:val="nil"/>
              <w:bottom w:val="nil"/>
              <w:right w:val="nil"/>
            </w:tcBorders>
            <w:vAlign w:val="bottom"/>
            <w:hideMark/>
          </w:tcPr>
          <w:p w14:paraId="22E38D25" w14:textId="77777777" w:rsidR="00B46B2D" w:rsidRPr="005B2A08" w:rsidRDefault="00B46B2D" w:rsidP="00440340">
            <w:pPr>
              <w:spacing w:line="240" w:lineRule="auto"/>
              <w:textAlignment w:val="baseline"/>
              <w:rPr>
                <w:rFonts w:ascii="Inter" w:hAnsi="Inter"/>
                <w:sz w:val="20"/>
                <w:lang w:val="sv-SE" w:eastAsia="sv-SE"/>
              </w:rPr>
            </w:pPr>
            <w:r w:rsidRPr="005B2A08">
              <w:rPr>
                <w:rFonts w:ascii="Inter" w:hAnsi="Inter"/>
                <w:sz w:val="20"/>
                <w:lang w:val="sv-SE" w:eastAsia="sv-SE"/>
              </w:rPr>
              <w:t> </w:t>
            </w:r>
          </w:p>
        </w:tc>
      </w:tr>
      <w:tr w:rsidR="00B46B2D" w:rsidRPr="005B2A08" w14:paraId="1CA07209" w14:textId="77777777" w:rsidTr="003F0491">
        <w:trPr>
          <w:trHeight w:val="300"/>
        </w:trPr>
        <w:tc>
          <w:tcPr>
            <w:tcW w:w="3513" w:type="dxa"/>
            <w:tcBorders>
              <w:top w:val="single" w:sz="6" w:space="0" w:color="auto"/>
              <w:left w:val="single" w:sz="6" w:space="0" w:color="auto"/>
              <w:bottom w:val="single" w:sz="6" w:space="0" w:color="auto"/>
              <w:right w:val="single" w:sz="6" w:space="0" w:color="auto"/>
            </w:tcBorders>
            <w:shd w:val="clear" w:color="auto" w:fill="3B3838" w:themeFill="background2" w:themeFillShade="40"/>
            <w:hideMark/>
          </w:tcPr>
          <w:p w14:paraId="3EEC4B58" w14:textId="116088F3" w:rsidR="00B46B2D" w:rsidRPr="005B2A08" w:rsidRDefault="00B46B2D" w:rsidP="00D925D4">
            <w:pPr>
              <w:spacing w:line="240" w:lineRule="auto"/>
              <w:textAlignment w:val="baseline"/>
              <w:rPr>
                <w:rFonts w:ascii="Inter" w:hAnsi="Inter"/>
                <w:sz w:val="20"/>
                <w:lang w:val="sv-SE" w:eastAsia="sv-SE"/>
              </w:rPr>
            </w:pPr>
            <w:r w:rsidRPr="005B2A08">
              <w:rPr>
                <w:rFonts w:ascii="Inter" w:hAnsi="Inter"/>
                <w:b/>
                <w:bCs/>
                <w:sz w:val="20"/>
                <w:lang w:eastAsia="sv-SE"/>
              </w:rPr>
              <w:t>4.2 (a) Issuer Information</w:t>
            </w:r>
          </w:p>
        </w:tc>
        <w:tc>
          <w:tcPr>
            <w:tcW w:w="1866" w:type="dxa"/>
            <w:tcBorders>
              <w:top w:val="single" w:sz="6" w:space="0" w:color="auto"/>
              <w:left w:val="nil"/>
              <w:bottom w:val="single" w:sz="6" w:space="0" w:color="auto"/>
              <w:right w:val="single" w:sz="6" w:space="0" w:color="auto"/>
            </w:tcBorders>
            <w:shd w:val="clear" w:color="auto" w:fill="3B3838" w:themeFill="background2" w:themeFillShade="40"/>
            <w:hideMark/>
          </w:tcPr>
          <w:p w14:paraId="0A133481" w14:textId="5D60CBC1" w:rsidR="00B46B2D" w:rsidRPr="005B2A08" w:rsidRDefault="005B2A08" w:rsidP="00D925D4">
            <w:pPr>
              <w:spacing w:line="240" w:lineRule="auto"/>
              <w:textAlignment w:val="baseline"/>
              <w:rPr>
                <w:rFonts w:ascii="Inter" w:hAnsi="Inter"/>
                <w:sz w:val="20"/>
                <w:lang w:eastAsia="sv-SE"/>
              </w:rPr>
            </w:pPr>
            <w:r w:rsidRPr="005B2A08">
              <w:rPr>
                <w:rFonts w:ascii="Inter" w:hAnsi="Inter"/>
                <w:b/>
                <w:bCs/>
                <w:sz w:val="20"/>
                <w:lang w:eastAsia="sv-SE"/>
              </w:rPr>
              <w:t>D</w:t>
            </w:r>
            <w:r w:rsidR="00B46B2D" w:rsidRPr="005B2A08">
              <w:rPr>
                <w:rFonts w:ascii="Inter" w:hAnsi="Inter"/>
                <w:b/>
                <w:bCs/>
                <w:sz w:val="20"/>
                <w:lang w:eastAsia="sv-SE"/>
              </w:rPr>
              <w:t xml:space="preserve">ocument satisfying the </w:t>
            </w:r>
            <w:proofErr w:type="gramStart"/>
            <w:r w:rsidR="000847D8" w:rsidRPr="005B2A08">
              <w:rPr>
                <w:rFonts w:ascii="Inter" w:hAnsi="Inter"/>
                <w:b/>
                <w:bCs/>
                <w:sz w:val="20"/>
                <w:lang w:eastAsia="sv-SE"/>
              </w:rPr>
              <w:t>rule</w:t>
            </w:r>
            <w:proofErr w:type="gramEnd"/>
            <w:r w:rsidR="00580DF7">
              <w:rPr>
                <w:rFonts w:ascii="Inter" w:hAnsi="Inter"/>
                <w:b/>
                <w:bCs/>
                <w:sz w:val="20"/>
                <w:lang w:eastAsia="sv-SE"/>
              </w:rPr>
              <w:t>, including links</w:t>
            </w:r>
          </w:p>
        </w:tc>
        <w:tc>
          <w:tcPr>
            <w:tcW w:w="3538" w:type="dxa"/>
            <w:tcBorders>
              <w:top w:val="single" w:sz="6" w:space="0" w:color="auto"/>
              <w:left w:val="nil"/>
              <w:bottom w:val="single" w:sz="6" w:space="0" w:color="auto"/>
              <w:right w:val="single" w:sz="6" w:space="0" w:color="auto"/>
            </w:tcBorders>
            <w:shd w:val="clear" w:color="auto" w:fill="3B3838" w:themeFill="background2" w:themeFillShade="40"/>
            <w:hideMark/>
          </w:tcPr>
          <w:p w14:paraId="1DD201EC" w14:textId="360DE58F" w:rsidR="00B46B2D" w:rsidRPr="005B2A08" w:rsidRDefault="00B46B2D" w:rsidP="00D925D4">
            <w:pPr>
              <w:spacing w:line="240" w:lineRule="auto"/>
              <w:textAlignment w:val="baseline"/>
              <w:rPr>
                <w:rFonts w:ascii="Inter" w:hAnsi="Inter"/>
                <w:sz w:val="20"/>
                <w:lang w:val="sv-SE" w:eastAsia="sv-SE"/>
              </w:rPr>
            </w:pPr>
            <w:r w:rsidRPr="005B2A08">
              <w:rPr>
                <w:rFonts w:ascii="Inter" w:hAnsi="Inter"/>
                <w:b/>
                <w:bCs/>
                <w:sz w:val="20"/>
                <w:lang w:val="da-DK" w:eastAsia="sv-SE"/>
              </w:rPr>
              <w:t>Reference in document</w:t>
            </w:r>
            <w:r w:rsidR="00B945E7">
              <w:rPr>
                <w:rFonts w:ascii="Inter" w:hAnsi="Inter"/>
                <w:b/>
                <w:bCs/>
                <w:sz w:val="20"/>
                <w:lang w:val="da-DK" w:eastAsia="sv-SE"/>
              </w:rPr>
              <w:t>(s)</w:t>
            </w:r>
          </w:p>
        </w:tc>
      </w:tr>
      <w:tr w:rsidR="00D925D4" w:rsidRPr="005B2A08" w14:paraId="4F70EA9A" w14:textId="77777777" w:rsidTr="00892316">
        <w:trPr>
          <w:trHeight w:val="300"/>
        </w:trPr>
        <w:tc>
          <w:tcPr>
            <w:tcW w:w="3513" w:type="dxa"/>
            <w:tcBorders>
              <w:top w:val="nil"/>
              <w:left w:val="single" w:sz="6" w:space="0" w:color="auto"/>
              <w:bottom w:val="single" w:sz="6" w:space="0" w:color="auto"/>
              <w:right w:val="single" w:sz="6" w:space="0" w:color="auto"/>
            </w:tcBorders>
            <w:hideMark/>
          </w:tcPr>
          <w:p w14:paraId="524378B1" w14:textId="2ECE81FC" w:rsidR="00D925D4" w:rsidRPr="005B2A08" w:rsidRDefault="00D925D4" w:rsidP="00D925D4">
            <w:pPr>
              <w:spacing w:line="240" w:lineRule="auto"/>
              <w:textAlignment w:val="baseline"/>
              <w:rPr>
                <w:rFonts w:ascii="Inter" w:hAnsi="Inter"/>
                <w:sz w:val="20"/>
                <w:lang w:eastAsia="sv-SE"/>
              </w:rPr>
            </w:pPr>
            <w:r w:rsidRPr="005B2A08">
              <w:rPr>
                <w:rFonts w:ascii="Inter" w:hAnsi="Inter"/>
                <w:sz w:val="20"/>
              </w:rPr>
              <w:t>(i) a description of the Issuer, including the business model, organization, competitive situation, most significant markets and most significant risk factors</w:t>
            </w:r>
          </w:p>
        </w:tc>
        <w:tc>
          <w:tcPr>
            <w:tcW w:w="1866" w:type="dxa"/>
            <w:tcBorders>
              <w:top w:val="nil"/>
              <w:left w:val="nil"/>
              <w:bottom w:val="single" w:sz="6" w:space="0" w:color="auto"/>
              <w:right w:val="single" w:sz="6" w:space="0" w:color="auto"/>
            </w:tcBorders>
            <w:vAlign w:val="bottom"/>
            <w:hideMark/>
          </w:tcPr>
          <w:p w14:paraId="017A0BB3" w14:textId="77777777" w:rsidR="00D925D4" w:rsidRPr="005B2A08" w:rsidRDefault="00D925D4" w:rsidP="00D925D4">
            <w:pPr>
              <w:spacing w:line="240" w:lineRule="auto"/>
              <w:textAlignment w:val="baseline"/>
              <w:rPr>
                <w:rFonts w:ascii="Inter" w:hAnsi="Inter"/>
                <w:sz w:val="20"/>
                <w:lang w:val="sv-SE" w:eastAsia="sv-SE"/>
              </w:rPr>
            </w:pPr>
            <w:r w:rsidRPr="005B2A08">
              <w:rPr>
                <w:rFonts w:ascii="Inter" w:hAnsi="Inter" w:cs="Arial"/>
                <w:sz w:val="20"/>
                <w:lang w:val="da-DK" w:eastAsia="sv-SE"/>
              </w:rPr>
              <w:t> </w:t>
            </w:r>
            <w:r w:rsidRPr="005B2A08">
              <w:rPr>
                <w:rFonts w:ascii="Inter" w:hAnsi="Inter"/>
                <w:sz w:val="20"/>
                <w:lang w:val="sv-SE" w:eastAsia="sv-SE"/>
              </w:rPr>
              <w:t> </w:t>
            </w:r>
          </w:p>
        </w:tc>
        <w:tc>
          <w:tcPr>
            <w:tcW w:w="3538" w:type="dxa"/>
            <w:tcBorders>
              <w:top w:val="nil"/>
              <w:left w:val="nil"/>
              <w:bottom w:val="single" w:sz="6" w:space="0" w:color="auto"/>
              <w:right w:val="single" w:sz="6" w:space="0" w:color="auto"/>
            </w:tcBorders>
            <w:vAlign w:val="bottom"/>
            <w:hideMark/>
          </w:tcPr>
          <w:p w14:paraId="421F8CFF" w14:textId="77777777" w:rsidR="00D925D4" w:rsidRPr="005B2A08" w:rsidRDefault="00D925D4" w:rsidP="00D925D4">
            <w:pPr>
              <w:spacing w:line="240" w:lineRule="auto"/>
              <w:textAlignment w:val="baseline"/>
              <w:rPr>
                <w:rFonts w:ascii="Inter" w:hAnsi="Inter"/>
                <w:sz w:val="20"/>
                <w:lang w:val="sv-SE" w:eastAsia="sv-SE"/>
              </w:rPr>
            </w:pPr>
            <w:r w:rsidRPr="005B2A08">
              <w:rPr>
                <w:rFonts w:ascii="Inter" w:hAnsi="Inter" w:cs="Arial"/>
                <w:sz w:val="20"/>
                <w:lang w:val="da-DK" w:eastAsia="sv-SE"/>
              </w:rPr>
              <w:t> </w:t>
            </w:r>
            <w:r w:rsidRPr="005B2A08">
              <w:rPr>
                <w:rFonts w:ascii="Inter" w:hAnsi="Inter"/>
                <w:sz w:val="20"/>
                <w:lang w:val="sv-SE" w:eastAsia="sv-SE"/>
              </w:rPr>
              <w:t> </w:t>
            </w:r>
          </w:p>
        </w:tc>
      </w:tr>
      <w:tr w:rsidR="00D925D4" w:rsidRPr="005B2A08" w14:paraId="79D15B18" w14:textId="77777777" w:rsidTr="00892316">
        <w:trPr>
          <w:trHeight w:val="300"/>
        </w:trPr>
        <w:tc>
          <w:tcPr>
            <w:tcW w:w="3513" w:type="dxa"/>
            <w:tcBorders>
              <w:top w:val="nil"/>
              <w:left w:val="single" w:sz="6" w:space="0" w:color="auto"/>
              <w:bottom w:val="single" w:sz="6" w:space="0" w:color="auto"/>
              <w:right w:val="single" w:sz="6" w:space="0" w:color="auto"/>
            </w:tcBorders>
            <w:vAlign w:val="bottom"/>
            <w:hideMark/>
          </w:tcPr>
          <w:p w14:paraId="39E504B1" w14:textId="591DAC7E" w:rsidR="00D925D4" w:rsidRPr="005B2A08" w:rsidRDefault="00D925D4" w:rsidP="00D925D4">
            <w:pPr>
              <w:spacing w:line="240" w:lineRule="auto"/>
              <w:textAlignment w:val="baseline"/>
              <w:rPr>
                <w:rFonts w:ascii="Inter" w:hAnsi="Inter"/>
                <w:sz w:val="20"/>
                <w:lang w:eastAsia="sv-SE"/>
              </w:rPr>
            </w:pPr>
            <w:r w:rsidRPr="005B2A08">
              <w:rPr>
                <w:rFonts w:ascii="Inter" w:hAnsi="Inter"/>
                <w:sz w:val="20"/>
              </w:rPr>
              <w:t>(ii) the Issuer’s audited annual financial reports for the last two years, where applicable. Where applicable in the relevant accounting laws, the accounts shall also include consolidated accounts for the Issuer and all its subsidiaries</w:t>
            </w:r>
          </w:p>
        </w:tc>
        <w:tc>
          <w:tcPr>
            <w:tcW w:w="1866" w:type="dxa"/>
            <w:tcBorders>
              <w:top w:val="nil"/>
              <w:left w:val="nil"/>
              <w:bottom w:val="single" w:sz="6" w:space="0" w:color="auto"/>
              <w:right w:val="single" w:sz="6" w:space="0" w:color="auto"/>
            </w:tcBorders>
            <w:vAlign w:val="bottom"/>
            <w:hideMark/>
          </w:tcPr>
          <w:p w14:paraId="21F1BF9D" w14:textId="77777777" w:rsidR="00D925D4" w:rsidRPr="005B2A08" w:rsidRDefault="00D925D4" w:rsidP="00D925D4">
            <w:pPr>
              <w:spacing w:line="240" w:lineRule="auto"/>
              <w:textAlignment w:val="baseline"/>
              <w:rPr>
                <w:rFonts w:ascii="Inter" w:hAnsi="Inter"/>
                <w:sz w:val="20"/>
                <w:lang w:val="sv-SE" w:eastAsia="sv-SE"/>
              </w:rPr>
            </w:pPr>
            <w:r w:rsidRPr="005B2A08">
              <w:rPr>
                <w:rFonts w:ascii="Inter" w:hAnsi="Inter" w:cs="Arial"/>
                <w:sz w:val="20"/>
                <w:lang w:val="da-DK" w:eastAsia="sv-SE"/>
              </w:rPr>
              <w:t> </w:t>
            </w:r>
            <w:r w:rsidRPr="005B2A08">
              <w:rPr>
                <w:rFonts w:ascii="Inter" w:hAnsi="Inter"/>
                <w:sz w:val="20"/>
                <w:lang w:val="sv-SE" w:eastAsia="sv-SE"/>
              </w:rPr>
              <w:t> </w:t>
            </w:r>
          </w:p>
        </w:tc>
        <w:tc>
          <w:tcPr>
            <w:tcW w:w="3538" w:type="dxa"/>
            <w:tcBorders>
              <w:top w:val="nil"/>
              <w:left w:val="nil"/>
              <w:bottom w:val="single" w:sz="6" w:space="0" w:color="auto"/>
              <w:right w:val="single" w:sz="6" w:space="0" w:color="auto"/>
            </w:tcBorders>
            <w:vAlign w:val="bottom"/>
            <w:hideMark/>
          </w:tcPr>
          <w:p w14:paraId="52509E2F" w14:textId="77777777" w:rsidR="00D925D4" w:rsidRPr="005B2A08" w:rsidRDefault="00D925D4" w:rsidP="00D925D4">
            <w:pPr>
              <w:spacing w:line="240" w:lineRule="auto"/>
              <w:textAlignment w:val="baseline"/>
              <w:rPr>
                <w:rFonts w:ascii="Inter" w:hAnsi="Inter"/>
                <w:sz w:val="20"/>
                <w:lang w:val="sv-SE" w:eastAsia="sv-SE"/>
              </w:rPr>
            </w:pPr>
            <w:r w:rsidRPr="005B2A08">
              <w:rPr>
                <w:rFonts w:ascii="Inter" w:hAnsi="Inter" w:cs="Arial"/>
                <w:sz w:val="20"/>
                <w:lang w:val="da-DK" w:eastAsia="sv-SE"/>
              </w:rPr>
              <w:t> </w:t>
            </w:r>
            <w:r w:rsidRPr="005B2A08">
              <w:rPr>
                <w:rFonts w:ascii="Inter" w:hAnsi="Inter"/>
                <w:sz w:val="20"/>
                <w:lang w:val="sv-SE" w:eastAsia="sv-SE"/>
              </w:rPr>
              <w:t> </w:t>
            </w:r>
          </w:p>
        </w:tc>
      </w:tr>
      <w:tr w:rsidR="00D925D4" w:rsidRPr="005B2A08" w14:paraId="7FDC0917" w14:textId="77777777" w:rsidTr="00892316">
        <w:trPr>
          <w:trHeight w:val="300"/>
        </w:trPr>
        <w:tc>
          <w:tcPr>
            <w:tcW w:w="3513" w:type="dxa"/>
            <w:tcBorders>
              <w:top w:val="nil"/>
              <w:left w:val="single" w:sz="6" w:space="0" w:color="auto"/>
              <w:bottom w:val="single" w:sz="6" w:space="0" w:color="auto"/>
              <w:right w:val="single" w:sz="6" w:space="0" w:color="auto"/>
            </w:tcBorders>
            <w:vAlign w:val="bottom"/>
            <w:hideMark/>
          </w:tcPr>
          <w:p w14:paraId="6FA0A8BE" w14:textId="46733D3C" w:rsidR="00D925D4" w:rsidRPr="005B2A08" w:rsidRDefault="00D925D4" w:rsidP="00D925D4">
            <w:pPr>
              <w:spacing w:line="240" w:lineRule="auto"/>
              <w:textAlignment w:val="baseline"/>
              <w:rPr>
                <w:rFonts w:ascii="Inter" w:hAnsi="Inter"/>
                <w:sz w:val="20"/>
                <w:lang w:eastAsia="sv-SE"/>
              </w:rPr>
            </w:pPr>
            <w:r w:rsidRPr="005B2A08">
              <w:rPr>
                <w:rFonts w:ascii="Inter" w:hAnsi="Inter"/>
                <w:sz w:val="20"/>
              </w:rPr>
              <w:t>(iii) the Issuer’s most recent half-yearly report or quarterly report if such has been published</w:t>
            </w:r>
          </w:p>
        </w:tc>
        <w:tc>
          <w:tcPr>
            <w:tcW w:w="1866" w:type="dxa"/>
            <w:tcBorders>
              <w:top w:val="nil"/>
              <w:left w:val="nil"/>
              <w:bottom w:val="single" w:sz="6" w:space="0" w:color="auto"/>
              <w:right w:val="single" w:sz="6" w:space="0" w:color="auto"/>
            </w:tcBorders>
            <w:vAlign w:val="bottom"/>
            <w:hideMark/>
          </w:tcPr>
          <w:p w14:paraId="01767923" w14:textId="77777777" w:rsidR="00D925D4" w:rsidRPr="005B2A08" w:rsidRDefault="00D925D4" w:rsidP="00D925D4">
            <w:pPr>
              <w:spacing w:line="240" w:lineRule="auto"/>
              <w:textAlignment w:val="baseline"/>
              <w:rPr>
                <w:rFonts w:ascii="Inter" w:hAnsi="Inter"/>
                <w:sz w:val="20"/>
                <w:lang w:val="sv-SE" w:eastAsia="sv-SE"/>
              </w:rPr>
            </w:pPr>
            <w:r w:rsidRPr="005B2A08">
              <w:rPr>
                <w:rFonts w:ascii="Inter" w:hAnsi="Inter" w:cs="Arial"/>
                <w:sz w:val="20"/>
                <w:lang w:val="da-DK" w:eastAsia="sv-SE"/>
              </w:rPr>
              <w:t> </w:t>
            </w:r>
            <w:r w:rsidRPr="005B2A08">
              <w:rPr>
                <w:rFonts w:ascii="Inter" w:hAnsi="Inter"/>
                <w:sz w:val="20"/>
                <w:lang w:val="sv-SE" w:eastAsia="sv-SE"/>
              </w:rPr>
              <w:t> </w:t>
            </w:r>
          </w:p>
        </w:tc>
        <w:tc>
          <w:tcPr>
            <w:tcW w:w="3538" w:type="dxa"/>
            <w:tcBorders>
              <w:top w:val="nil"/>
              <w:left w:val="nil"/>
              <w:bottom w:val="single" w:sz="6" w:space="0" w:color="auto"/>
              <w:right w:val="single" w:sz="6" w:space="0" w:color="auto"/>
            </w:tcBorders>
            <w:vAlign w:val="bottom"/>
            <w:hideMark/>
          </w:tcPr>
          <w:p w14:paraId="3911EDC9" w14:textId="77777777" w:rsidR="00D925D4" w:rsidRPr="005B2A08" w:rsidRDefault="00D925D4" w:rsidP="00D925D4">
            <w:pPr>
              <w:spacing w:line="240" w:lineRule="auto"/>
              <w:textAlignment w:val="baseline"/>
              <w:rPr>
                <w:rFonts w:ascii="Inter" w:hAnsi="Inter"/>
                <w:sz w:val="20"/>
                <w:lang w:val="sv-SE" w:eastAsia="sv-SE"/>
              </w:rPr>
            </w:pPr>
            <w:r w:rsidRPr="005B2A08">
              <w:rPr>
                <w:rFonts w:ascii="Inter" w:hAnsi="Inter" w:cs="Arial"/>
                <w:sz w:val="20"/>
                <w:lang w:val="da-DK" w:eastAsia="sv-SE"/>
              </w:rPr>
              <w:t> </w:t>
            </w:r>
            <w:r w:rsidRPr="005B2A08">
              <w:rPr>
                <w:rFonts w:ascii="Inter" w:hAnsi="Inter"/>
                <w:sz w:val="20"/>
                <w:lang w:val="sv-SE" w:eastAsia="sv-SE"/>
              </w:rPr>
              <w:t> </w:t>
            </w:r>
          </w:p>
        </w:tc>
      </w:tr>
      <w:tr w:rsidR="00D925D4" w:rsidRPr="005B2A08" w14:paraId="2554BC17" w14:textId="77777777" w:rsidTr="00892316">
        <w:trPr>
          <w:trHeight w:val="300"/>
        </w:trPr>
        <w:tc>
          <w:tcPr>
            <w:tcW w:w="3513" w:type="dxa"/>
            <w:tcBorders>
              <w:top w:val="nil"/>
              <w:left w:val="single" w:sz="6" w:space="0" w:color="auto"/>
              <w:bottom w:val="single" w:sz="6" w:space="0" w:color="auto"/>
              <w:right w:val="single" w:sz="6" w:space="0" w:color="auto"/>
            </w:tcBorders>
            <w:vAlign w:val="bottom"/>
            <w:hideMark/>
          </w:tcPr>
          <w:p w14:paraId="3755B131" w14:textId="3673AE14" w:rsidR="00D925D4" w:rsidRPr="005B2A08" w:rsidRDefault="00D925D4" w:rsidP="00D925D4">
            <w:pPr>
              <w:spacing w:line="240" w:lineRule="auto"/>
              <w:textAlignment w:val="baseline"/>
              <w:rPr>
                <w:rFonts w:ascii="Inter" w:hAnsi="Inter"/>
                <w:sz w:val="20"/>
                <w:lang w:eastAsia="sv-SE"/>
              </w:rPr>
            </w:pPr>
            <w:r w:rsidRPr="005B2A08">
              <w:rPr>
                <w:rFonts w:ascii="Inter" w:hAnsi="Inter"/>
                <w:sz w:val="20"/>
              </w:rPr>
              <w:t>(iv) comments on the financial development regarding the period covered by the financial history. If there are material changes between the periods for individual financial items, this shall be explained</w:t>
            </w:r>
          </w:p>
        </w:tc>
        <w:tc>
          <w:tcPr>
            <w:tcW w:w="1866" w:type="dxa"/>
            <w:tcBorders>
              <w:top w:val="nil"/>
              <w:left w:val="nil"/>
              <w:bottom w:val="single" w:sz="6" w:space="0" w:color="auto"/>
              <w:right w:val="single" w:sz="6" w:space="0" w:color="auto"/>
            </w:tcBorders>
            <w:vAlign w:val="bottom"/>
            <w:hideMark/>
          </w:tcPr>
          <w:p w14:paraId="6D7B65C3" w14:textId="77777777" w:rsidR="00D925D4" w:rsidRPr="005B2A08" w:rsidRDefault="00D925D4" w:rsidP="00D925D4">
            <w:pPr>
              <w:spacing w:line="240" w:lineRule="auto"/>
              <w:textAlignment w:val="baseline"/>
              <w:rPr>
                <w:rFonts w:ascii="Inter" w:hAnsi="Inter"/>
                <w:sz w:val="20"/>
                <w:lang w:val="sv-SE" w:eastAsia="sv-SE"/>
              </w:rPr>
            </w:pPr>
            <w:r w:rsidRPr="005B2A08">
              <w:rPr>
                <w:rFonts w:ascii="Inter" w:hAnsi="Inter" w:cs="Arial"/>
                <w:sz w:val="20"/>
                <w:lang w:val="da-DK" w:eastAsia="sv-SE"/>
              </w:rPr>
              <w:t> </w:t>
            </w:r>
            <w:r w:rsidRPr="005B2A08">
              <w:rPr>
                <w:rFonts w:ascii="Inter" w:hAnsi="Inter"/>
                <w:sz w:val="20"/>
                <w:lang w:val="sv-SE" w:eastAsia="sv-SE"/>
              </w:rPr>
              <w:t> </w:t>
            </w:r>
          </w:p>
        </w:tc>
        <w:tc>
          <w:tcPr>
            <w:tcW w:w="3538" w:type="dxa"/>
            <w:tcBorders>
              <w:top w:val="nil"/>
              <w:left w:val="nil"/>
              <w:bottom w:val="single" w:sz="6" w:space="0" w:color="auto"/>
              <w:right w:val="single" w:sz="6" w:space="0" w:color="auto"/>
            </w:tcBorders>
            <w:vAlign w:val="bottom"/>
            <w:hideMark/>
          </w:tcPr>
          <w:p w14:paraId="31FBD630" w14:textId="77777777" w:rsidR="00D925D4" w:rsidRPr="005B2A08" w:rsidRDefault="00D925D4" w:rsidP="00D925D4">
            <w:pPr>
              <w:spacing w:line="240" w:lineRule="auto"/>
              <w:textAlignment w:val="baseline"/>
              <w:rPr>
                <w:rFonts w:ascii="Inter" w:hAnsi="Inter"/>
                <w:sz w:val="20"/>
                <w:lang w:val="sv-SE" w:eastAsia="sv-SE"/>
              </w:rPr>
            </w:pPr>
            <w:r w:rsidRPr="005B2A08">
              <w:rPr>
                <w:rFonts w:ascii="Inter" w:hAnsi="Inter" w:cs="Arial"/>
                <w:sz w:val="20"/>
                <w:lang w:val="da-DK" w:eastAsia="sv-SE"/>
              </w:rPr>
              <w:t> </w:t>
            </w:r>
            <w:r w:rsidRPr="005B2A08">
              <w:rPr>
                <w:rFonts w:ascii="Inter" w:hAnsi="Inter"/>
                <w:sz w:val="20"/>
                <w:lang w:val="sv-SE" w:eastAsia="sv-SE"/>
              </w:rPr>
              <w:t> </w:t>
            </w:r>
          </w:p>
        </w:tc>
      </w:tr>
      <w:tr w:rsidR="00D925D4" w:rsidRPr="005B2A08" w14:paraId="1D5421B9" w14:textId="77777777" w:rsidTr="00892316">
        <w:trPr>
          <w:trHeight w:val="300"/>
        </w:trPr>
        <w:tc>
          <w:tcPr>
            <w:tcW w:w="3513" w:type="dxa"/>
            <w:tcBorders>
              <w:top w:val="nil"/>
              <w:left w:val="single" w:sz="6" w:space="0" w:color="auto"/>
              <w:bottom w:val="single" w:sz="6" w:space="0" w:color="auto"/>
              <w:right w:val="single" w:sz="6" w:space="0" w:color="auto"/>
            </w:tcBorders>
            <w:vAlign w:val="bottom"/>
            <w:hideMark/>
          </w:tcPr>
          <w:p w14:paraId="3EC0913A" w14:textId="5231F3F2" w:rsidR="00D925D4" w:rsidRPr="005B2A08" w:rsidRDefault="00D925D4" w:rsidP="00D925D4">
            <w:pPr>
              <w:spacing w:line="240" w:lineRule="auto"/>
              <w:textAlignment w:val="baseline"/>
              <w:rPr>
                <w:rFonts w:ascii="Inter" w:hAnsi="Inter"/>
                <w:sz w:val="20"/>
                <w:lang w:eastAsia="sv-SE"/>
              </w:rPr>
            </w:pPr>
            <w:r w:rsidRPr="005B2A08">
              <w:rPr>
                <w:rFonts w:ascii="Inter" w:hAnsi="Inter"/>
                <w:sz w:val="20"/>
              </w:rPr>
              <w:t>(v) a description of the Board of Directors and the management of the Issuer</w:t>
            </w:r>
          </w:p>
        </w:tc>
        <w:tc>
          <w:tcPr>
            <w:tcW w:w="1866" w:type="dxa"/>
            <w:tcBorders>
              <w:top w:val="nil"/>
              <w:left w:val="nil"/>
              <w:bottom w:val="single" w:sz="6" w:space="0" w:color="auto"/>
              <w:right w:val="single" w:sz="6" w:space="0" w:color="auto"/>
            </w:tcBorders>
            <w:vAlign w:val="bottom"/>
            <w:hideMark/>
          </w:tcPr>
          <w:p w14:paraId="7C9033DC" w14:textId="77777777" w:rsidR="00D925D4" w:rsidRPr="005B2A08" w:rsidRDefault="00D925D4" w:rsidP="00D925D4">
            <w:pPr>
              <w:spacing w:line="240" w:lineRule="auto"/>
              <w:textAlignment w:val="baseline"/>
              <w:rPr>
                <w:rFonts w:ascii="Inter" w:hAnsi="Inter"/>
                <w:sz w:val="20"/>
                <w:lang w:val="sv-SE" w:eastAsia="sv-SE"/>
              </w:rPr>
            </w:pPr>
            <w:r w:rsidRPr="005B2A08">
              <w:rPr>
                <w:rFonts w:ascii="Inter" w:hAnsi="Inter" w:cs="Arial"/>
                <w:sz w:val="20"/>
                <w:lang w:val="da-DK" w:eastAsia="sv-SE"/>
              </w:rPr>
              <w:t> </w:t>
            </w:r>
            <w:r w:rsidRPr="005B2A08">
              <w:rPr>
                <w:rFonts w:ascii="Inter" w:hAnsi="Inter"/>
                <w:sz w:val="20"/>
                <w:lang w:val="sv-SE" w:eastAsia="sv-SE"/>
              </w:rPr>
              <w:t> </w:t>
            </w:r>
          </w:p>
        </w:tc>
        <w:tc>
          <w:tcPr>
            <w:tcW w:w="3538" w:type="dxa"/>
            <w:tcBorders>
              <w:top w:val="nil"/>
              <w:left w:val="nil"/>
              <w:bottom w:val="single" w:sz="6" w:space="0" w:color="auto"/>
              <w:right w:val="single" w:sz="6" w:space="0" w:color="auto"/>
            </w:tcBorders>
            <w:vAlign w:val="bottom"/>
            <w:hideMark/>
          </w:tcPr>
          <w:p w14:paraId="43227E4D" w14:textId="77777777" w:rsidR="00D925D4" w:rsidRPr="005B2A08" w:rsidRDefault="00D925D4" w:rsidP="00D925D4">
            <w:pPr>
              <w:spacing w:line="240" w:lineRule="auto"/>
              <w:textAlignment w:val="baseline"/>
              <w:rPr>
                <w:rFonts w:ascii="Inter" w:hAnsi="Inter"/>
                <w:sz w:val="20"/>
                <w:lang w:val="sv-SE" w:eastAsia="sv-SE"/>
              </w:rPr>
            </w:pPr>
            <w:r w:rsidRPr="005B2A08">
              <w:rPr>
                <w:rFonts w:ascii="Inter" w:hAnsi="Inter" w:cs="Arial"/>
                <w:sz w:val="20"/>
                <w:lang w:val="da-DK" w:eastAsia="sv-SE"/>
              </w:rPr>
              <w:t> </w:t>
            </w:r>
            <w:r w:rsidRPr="005B2A08">
              <w:rPr>
                <w:rFonts w:ascii="Inter" w:hAnsi="Inter"/>
                <w:sz w:val="20"/>
                <w:lang w:val="sv-SE" w:eastAsia="sv-SE"/>
              </w:rPr>
              <w:t> </w:t>
            </w:r>
          </w:p>
        </w:tc>
      </w:tr>
      <w:tr w:rsidR="00D925D4" w:rsidRPr="005B2A08" w14:paraId="450245A9" w14:textId="77777777" w:rsidTr="00892316">
        <w:trPr>
          <w:trHeight w:val="300"/>
        </w:trPr>
        <w:tc>
          <w:tcPr>
            <w:tcW w:w="3513" w:type="dxa"/>
            <w:tcBorders>
              <w:top w:val="nil"/>
              <w:left w:val="single" w:sz="6" w:space="0" w:color="auto"/>
              <w:bottom w:val="single" w:sz="6" w:space="0" w:color="auto"/>
              <w:right w:val="single" w:sz="6" w:space="0" w:color="auto"/>
            </w:tcBorders>
            <w:hideMark/>
          </w:tcPr>
          <w:p w14:paraId="3F9E7034" w14:textId="43048511" w:rsidR="00D925D4" w:rsidRPr="005B2A08" w:rsidRDefault="00D925D4" w:rsidP="00D925D4">
            <w:pPr>
              <w:spacing w:line="240" w:lineRule="auto"/>
              <w:textAlignment w:val="baseline"/>
              <w:rPr>
                <w:rFonts w:ascii="Inter" w:hAnsi="Inter"/>
                <w:sz w:val="20"/>
                <w:lang w:eastAsia="sv-SE"/>
              </w:rPr>
            </w:pPr>
            <w:r w:rsidRPr="005B2A08">
              <w:rPr>
                <w:rFonts w:ascii="Inter" w:hAnsi="Inter"/>
                <w:sz w:val="20"/>
              </w:rPr>
              <w:t xml:space="preserve">(vi) a brief summary of all material contracts that are not entered into in the ordinary course of business, which could </w:t>
            </w:r>
            <w:bookmarkStart w:id="1" w:name="_Hlk188884360"/>
            <w:r w:rsidRPr="005B2A08">
              <w:rPr>
                <w:rFonts w:ascii="Inter" w:hAnsi="Inter"/>
                <w:sz w:val="20"/>
              </w:rPr>
              <w:t>result in the Issuer, or another company within the same group of companies as the Issuer, being under an obligation or entitlement that is material to the Issuer’s ability to meet its obligations in respect of the instruments being issued</w:t>
            </w:r>
            <w:bookmarkEnd w:id="1"/>
          </w:p>
        </w:tc>
        <w:tc>
          <w:tcPr>
            <w:tcW w:w="1866" w:type="dxa"/>
            <w:tcBorders>
              <w:top w:val="nil"/>
              <w:left w:val="nil"/>
              <w:bottom w:val="single" w:sz="6" w:space="0" w:color="auto"/>
              <w:right w:val="single" w:sz="6" w:space="0" w:color="auto"/>
            </w:tcBorders>
            <w:vAlign w:val="bottom"/>
            <w:hideMark/>
          </w:tcPr>
          <w:p w14:paraId="3C4344FF" w14:textId="77777777" w:rsidR="00D925D4" w:rsidRPr="005B2A08" w:rsidRDefault="00D925D4" w:rsidP="00D925D4">
            <w:pPr>
              <w:spacing w:line="240" w:lineRule="auto"/>
              <w:textAlignment w:val="baseline"/>
              <w:rPr>
                <w:rFonts w:ascii="Inter" w:hAnsi="Inter"/>
                <w:sz w:val="20"/>
                <w:lang w:val="sv-SE" w:eastAsia="sv-SE"/>
              </w:rPr>
            </w:pPr>
            <w:r w:rsidRPr="005B2A08">
              <w:rPr>
                <w:rFonts w:ascii="Inter" w:hAnsi="Inter" w:cs="Arial"/>
                <w:sz w:val="20"/>
                <w:lang w:val="da-DK" w:eastAsia="sv-SE"/>
              </w:rPr>
              <w:t> </w:t>
            </w:r>
            <w:r w:rsidRPr="005B2A08">
              <w:rPr>
                <w:rFonts w:ascii="Inter" w:hAnsi="Inter"/>
                <w:sz w:val="20"/>
                <w:lang w:val="sv-SE" w:eastAsia="sv-SE"/>
              </w:rPr>
              <w:t> </w:t>
            </w:r>
          </w:p>
        </w:tc>
        <w:tc>
          <w:tcPr>
            <w:tcW w:w="3538" w:type="dxa"/>
            <w:tcBorders>
              <w:top w:val="nil"/>
              <w:left w:val="nil"/>
              <w:bottom w:val="single" w:sz="6" w:space="0" w:color="auto"/>
              <w:right w:val="single" w:sz="6" w:space="0" w:color="auto"/>
            </w:tcBorders>
            <w:vAlign w:val="bottom"/>
            <w:hideMark/>
          </w:tcPr>
          <w:p w14:paraId="7BBAB6C3" w14:textId="77777777" w:rsidR="00D925D4" w:rsidRPr="005B2A08" w:rsidRDefault="00D925D4" w:rsidP="00D925D4">
            <w:pPr>
              <w:spacing w:line="240" w:lineRule="auto"/>
              <w:textAlignment w:val="baseline"/>
              <w:rPr>
                <w:rFonts w:ascii="Inter" w:hAnsi="Inter"/>
                <w:sz w:val="20"/>
                <w:lang w:val="sv-SE" w:eastAsia="sv-SE"/>
              </w:rPr>
            </w:pPr>
            <w:r w:rsidRPr="005B2A08">
              <w:rPr>
                <w:rFonts w:ascii="Inter" w:hAnsi="Inter" w:cs="Arial"/>
                <w:sz w:val="20"/>
                <w:lang w:val="da-DK" w:eastAsia="sv-SE"/>
              </w:rPr>
              <w:t> </w:t>
            </w:r>
            <w:r w:rsidRPr="005B2A08">
              <w:rPr>
                <w:rFonts w:ascii="Inter" w:hAnsi="Inter"/>
                <w:sz w:val="20"/>
                <w:lang w:val="sv-SE" w:eastAsia="sv-SE"/>
              </w:rPr>
              <w:t> </w:t>
            </w:r>
          </w:p>
        </w:tc>
      </w:tr>
      <w:tr w:rsidR="00D925D4" w:rsidRPr="005B2A08" w14:paraId="58AC0547" w14:textId="77777777" w:rsidTr="00892316">
        <w:trPr>
          <w:trHeight w:val="300"/>
        </w:trPr>
        <w:tc>
          <w:tcPr>
            <w:tcW w:w="3513" w:type="dxa"/>
            <w:tcBorders>
              <w:top w:val="nil"/>
              <w:left w:val="single" w:sz="6" w:space="0" w:color="auto"/>
              <w:bottom w:val="single" w:sz="6" w:space="0" w:color="auto"/>
              <w:right w:val="single" w:sz="6" w:space="0" w:color="auto"/>
            </w:tcBorders>
            <w:hideMark/>
          </w:tcPr>
          <w:p w14:paraId="033730C0" w14:textId="5756CB1D" w:rsidR="00D925D4" w:rsidRPr="005B2A08" w:rsidRDefault="00D925D4" w:rsidP="00D925D4">
            <w:pPr>
              <w:spacing w:line="240" w:lineRule="auto"/>
              <w:textAlignment w:val="baseline"/>
              <w:rPr>
                <w:rFonts w:ascii="Inter" w:hAnsi="Inter"/>
                <w:sz w:val="20"/>
                <w:lang w:eastAsia="sv-SE"/>
              </w:rPr>
            </w:pPr>
            <w:r w:rsidRPr="005B2A08">
              <w:rPr>
                <w:rFonts w:ascii="Inter" w:hAnsi="Inter"/>
                <w:sz w:val="20"/>
              </w:rPr>
              <w:t xml:space="preserve">(vii) a description of the ownership structure of the Issuer, including any </w:t>
            </w:r>
            <w:r w:rsidRPr="005B2A08">
              <w:rPr>
                <w:rFonts w:ascii="Inter" w:hAnsi="Inter"/>
                <w:sz w:val="20"/>
              </w:rPr>
              <w:lastRenderedPageBreak/>
              <w:t>shareholdings held by the Board of Directors and management</w:t>
            </w:r>
          </w:p>
        </w:tc>
        <w:tc>
          <w:tcPr>
            <w:tcW w:w="1866" w:type="dxa"/>
            <w:tcBorders>
              <w:top w:val="nil"/>
              <w:left w:val="nil"/>
              <w:bottom w:val="single" w:sz="6" w:space="0" w:color="auto"/>
              <w:right w:val="single" w:sz="6" w:space="0" w:color="auto"/>
            </w:tcBorders>
            <w:vAlign w:val="bottom"/>
            <w:hideMark/>
          </w:tcPr>
          <w:p w14:paraId="7755ECBF" w14:textId="77777777" w:rsidR="00D925D4" w:rsidRPr="005B2A08" w:rsidRDefault="00D925D4" w:rsidP="00D925D4">
            <w:pPr>
              <w:spacing w:line="240" w:lineRule="auto"/>
              <w:textAlignment w:val="baseline"/>
              <w:rPr>
                <w:rFonts w:ascii="Inter" w:hAnsi="Inter"/>
                <w:sz w:val="20"/>
                <w:lang w:val="sv-SE" w:eastAsia="sv-SE"/>
              </w:rPr>
            </w:pPr>
            <w:r w:rsidRPr="005B2A08">
              <w:rPr>
                <w:rFonts w:ascii="Inter" w:hAnsi="Inter" w:cs="Arial"/>
                <w:sz w:val="20"/>
                <w:lang w:val="da-DK" w:eastAsia="sv-SE"/>
              </w:rPr>
              <w:lastRenderedPageBreak/>
              <w:t> </w:t>
            </w:r>
            <w:r w:rsidRPr="005B2A08">
              <w:rPr>
                <w:rFonts w:ascii="Inter" w:hAnsi="Inter"/>
                <w:sz w:val="20"/>
                <w:lang w:val="sv-SE" w:eastAsia="sv-SE"/>
              </w:rPr>
              <w:t> </w:t>
            </w:r>
          </w:p>
        </w:tc>
        <w:tc>
          <w:tcPr>
            <w:tcW w:w="3538" w:type="dxa"/>
            <w:tcBorders>
              <w:top w:val="nil"/>
              <w:left w:val="nil"/>
              <w:bottom w:val="single" w:sz="6" w:space="0" w:color="auto"/>
              <w:right w:val="single" w:sz="6" w:space="0" w:color="auto"/>
            </w:tcBorders>
            <w:vAlign w:val="bottom"/>
            <w:hideMark/>
          </w:tcPr>
          <w:p w14:paraId="366841AB" w14:textId="77777777" w:rsidR="00D925D4" w:rsidRPr="005B2A08" w:rsidRDefault="00D925D4" w:rsidP="00D925D4">
            <w:pPr>
              <w:spacing w:line="240" w:lineRule="auto"/>
              <w:textAlignment w:val="baseline"/>
              <w:rPr>
                <w:rFonts w:ascii="Inter" w:hAnsi="Inter"/>
                <w:sz w:val="20"/>
                <w:lang w:val="sv-SE" w:eastAsia="sv-SE"/>
              </w:rPr>
            </w:pPr>
            <w:r w:rsidRPr="005B2A08">
              <w:rPr>
                <w:rFonts w:ascii="Inter" w:hAnsi="Inter" w:cs="Arial"/>
                <w:sz w:val="20"/>
                <w:lang w:val="da-DK" w:eastAsia="sv-SE"/>
              </w:rPr>
              <w:t> </w:t>
            </w:r>
            <w:r w:rsidRPr="005B2A08">
              <w:rPr>
                <w:rFonts w:ascii="Inter" w:hAnsi="Inter"/>
                <w:sz w:val="20"/>
                <w:lang w:val="sv-SE" w:eastAsia="sv-SE"/>
              </w:rPr>
              <w:t> </w:t>
            </w:r>
          </w:p>
        </w:tc>
      </w:tr>
      <w:tr w:rsidR="00D925D4" w:rsidRPr="005B2A08" w14:paraId="0F897C74" w14:textId="77777777" w:rsidTr="00892316">
        <w:trPr>
          <w:trHeight w:val="300"/>
        </w:trPr>
        <w:tc>
          <w:tcPr>
            <w:tcW w:w="3513" w:type="dxa"/>
            <w:tcBorders>
              <w:top w:val="nil"/>
              <w:left w:val="single" w:sz="6" w:space="0" w:color="auto"/>
              <w:bottom w:val="single" w:sz="6" w:space="0" w:color="auto"/>
              <w:right w:val="single" w:sz="6" w:space="0" w:color="auto"/>
            </w:tcBorders>
            <w:hideMark/>
          </w:tcPr>
          <w:p w14:paraId="5A534B8F" w14:textId="0F544BA7" w:rsidR="00D925D4" w:rsidRPr="005B2A08" w:rsidRDefault="00D925D4" w:rsidP="00D925D4">
            <w:pPr>
              <w:spacing w:line="240" w:lineRule="auto"/>
              <w:textAlignment w:val="baseline"/>
              <w:rPr>
                <w:rFonts w:ascii="Inter" w:hAnsi="Inter"/>
                <w:sz w:val="20"/>
                <w:lang w:eastAsia="sv-SE"/>
              </w:rPr>
            </w:pPr>
            <w:r w:rsidRPr="005B2A08">
              <w:rPr>
                <w:rFonts w:ascii="Inter" w:hAnsi="Inter"/>
                <w:sz w:val="20"/>
              </w:rPr>
              <w:t xml:space="preserve">(viii) a description of any transactions with </w:t>
            </w:r>
            <w:proofErr w:type="gramStart"/>
            <w:r w:rsidRPr="005B2A08">
              <w:rPr>
                <w:rFonts w:ascii="Inter" w:hAnsi="Inter"/>
                <w:sz w:val="20"/>
              </w:rPr>
              <w:t>persons</w:t>
            </w:r>
            <w:proofErr w:type="gramEnd"/>
            <w:r w:rsidRPr="005B2A08">
              <w:rPr>
                <w:rFonts w:ascii="Inter" w:hAnsi="Inter"/>
                <w:sz w:val="20"/>
              </w:rPr>
              <w:t xml:space="preserve"> discharging managerial responsibilities in the Issuer, Board members, affiliates to such persons, major owners or another company within the same group as the Issuer</w:t>
            </w:r>
          </w:p>
        </w:tc>
        <w:tc>
          <w:tcPr>
            <w:tcW w:w="1866" w:type="dxa"/>
            <w:tcBorders>
              <w:top w:val="nil"/>
              <w:left w:val="nil"/>
              <w:bottom w:val="single" w:sz="6" w:space="0" w:color="auto"/>
              <w:right w:val="single" w:sz="6" w:space="0" w:color="auto"/>
            </w:tcBorders>
            <w:vAlign w:val="bottom"/>
            <w:hideMark/>
          </w:tcPr>
          <w:p w14:paraId="488693D3" w14:textId="77777777" w:rsidR="00D925D4" w:rsidRPr="005B2A08" w:rsidRDefault="00D925D4" w:rsidP="00D925D4">
            <w:pPr>
              <w:spacing w:line="240" w:lineRule="auto"/>
              <w:textAlignment w:val="baseline"/>
              <w:rPr>
                <w:rFonts w:ascii="Inter" w:hAnsi="Inter"/>
                <w:sz w:val="20"/>
                <w:lang w:val="sv-SE" w:eastAsia="sv-SE"/>
              </w:rPr>
            </w:pPr>
            <w:r w:rsidRPr="005B2A08">
              <w:rPr>
                <w:rFonts w:ascii="Inter" w:hAnsi="Inter" w:cs="Arial"/>
                <w:sz w:val="20"/>
                <w:lang w:val="da-DK" w:eastAsia="sv-SE"/>
              </w:rPr>
              <w:t> </w:t>
            </w:r>
            <w:r w:rsidRPr="005B2A08">
              <w:rPr>
                <w:rFonts w:ascii="Inter" w:hAnsi="Inter"/>
                <w:sz w:val="20"/>
                <w:lang w:val="sv-SE" w:eastAsia="sv-SE"/>
              </w:rPr>
              <w:t> </w:t>
            </w:r>
          </w:p>
        </w:tc>
        <w:tc>
          <w:tcPr>
            <w:tcW w:w="3538" w:type="dxa"/>
            <w:tcBorders>
              <w:top w:val="nil"/>
              <w:left w:val="nil"/>
              <w:bottom w:val="single" w:sz="6" w:space="0" w:color="auto"/>
              <w:right w:val="single" w:sz="6" w:space="0" w:color="auto"/>
            </w:tcBorders>
            <w:vAlign w:val="bottom"/>
            <w:hideMark/>
          </w:tcPr>
          <w:p w14:paraId="6DE1EE8D" w14:textId="77777777" w:rsidR="00D925D4" w:rsidRPr="005B2A08" w:rsidRDefault="00D925D4" w:rsidP="00D925D4">
            <w:pPr>
              <w:spacing w:line="240" w:lineRule="auto"/>
              <w:textAlignment w:val="baseline"/>
              <w:rPr>
                <w:rFonts w:ascii="Inter" w:hAnsi="Inter"/>
                <w:sz w:val="20"/>
                <w:lang w:val="sv-SE" w:eastAsia="sv-SE"/>
              </w:rPr>
            </w:pPr>
            <w:r w:rsidRPr="005B2A08">
              <w:rPr>
                <w:rFonts w:ascii="Inter" w:hAnsi="Inter" w:cs="Arial"/>
                <w:sz w:val="20"/>
                <w:lang w:val="da-DK" w:eastAsia="sv-SE"/>
              </w:rPr>
              <w:t> </w:t>
            </w:r>
            <w:r w:rsidRPr="005B2A08">
              <w:rPr>
                <w:rFonts w:ascii="Inter" w:hAnsi="Inter"/>
                <w:sz w:val="20"/>
                <w:lang w:val="sv-SE" w:eastAsia="sv-SE"/>
              </w:rPr>
              <w:t> </w:t>
            </w:r>
          </w:p>
        </w:tc>
      </w:tr>
      <w:tr w:rsidR="00D925D4" w:rsidRPr="005B2A08" w14:paraId="38D33D0D" w14:textId="77777777" w:rsidTr="00892316">
        <w:trPr>
          <w:trHeight w:val="300"/>
        </w:trPr>
        <w:tc>
          <w:tcPr>
            <w:tcW w:w="3513" w:type="dxa"/>
            <w:tcBorders>
              <w:top w:val="nil"/>
              <w:left w:val="single" w:sz="6" w:space="0" w:color="auto"/>
              <w:bottom w:val="single" w:sz="6" w:space="0" w:color="auto"/>
              <w:right w:val="single" w:sz="6" w:space="0" w:color="auto"/>
            </w:tcBorders>
            <w:hideMark/>
          </w:tcPr>
          <w:p w14:paraId="287830E7" w14:textId="4E606A8A" w:rsidR="00D925D4" w:rsidRPr="005B2A08" w:rsidRDefault="00D925D4" w:rsidP="00D925D4">
            <w:pPr>
              <w:spacing w:line="240" w:lineRule="auto"/>
              <w:textAlignment w:val="baseline"/>
              <w:rPr>
                <w:rFonts w:ascii="Inter" w:hAnsi="Inter"/>
                <w:sz w:val="20"/>
                <w:lang w:eastAsia="sv-SE"/>
              </w:rPr>
            </w:pPr>
            <w:r w:rsidRPr="005B2A08">
              <w:rPr>
                <w:rFonts w:ascii="Inter" w:hAnsi="Inter"/>
                <w:sz w:val="20"/>
              </w:rPr>
              <w:t xml:space="preserve">(ix) the date of the first annual general meeting following the application as well as the scheduled date for first publication of the audited or unaudited annual earnings figures or annual financial report and half-yearly or quarterly </w:t>
            </w:r>
            <w:proofErr w:type="gramStart"/>
            <w:r w:rsidRPr="005B2A08">
              <w:rPr>
                <w:rFonts w:ascii="Inter" w:hAnsi="Inter"/>
                <w:sz w:val="20"/>
              </w:rPr>
              <w:t>report as the case may be, following</w:t>
            </w:r>
            <w:proofErr w:type="gramEnd"/>
            <w:r w:rsidRPr="005B2A08">
              <w:rPr>
                <w:rFonts w:ascii="Inter" w:hAnsi="Inter"/>
                <w:sz w:val="20"/>
              </w:rPr>
              <w:t xml:space="preserve"> such application</w:t>
            </w:r>
          </w:p>
        </w:tc>
        <w:tc>
          <w:tcPr>
            <w:tcW w:w="1866" w:type="dxa"/>
            <w:tcBorders>
              <w:top w:val="nil"/>
              <w:left w:val="nil"/>
              <w:bottom w:val="single" w:sz="6" w:space="0" w:color="auto"/>
              <w:right w:val="single" w:sz="6" w:space="0" w:color="auto"/>
            </w:tcBorders>
            <w:vAlign w:val="bottom"/>
            <w:hideMark/>
          </w:tcPr>
          <w:p w14:paraId="25F8E1B1" w14:textId="77777777" w:rsidR="00D925D4" w:rsidRPr="005B2A08" w:rsidRDefault="00D925D4" w:rsidP="00D925D4">
            <w:pPr>
              <w:spacing w:line="240" w:lineRule="auto"/>
              <w:textAlignment w:val="baseline"/>
              <w:rPr>
                <w:rFonts w:ascii="Inter" w:hAnsi="Inter"/>
                <w:sz w:val="20"/>
                <w:lang w:val="sv-SE" w:eastAsia="sv-SE"/>
              </w:rPr>
            </w:pPr>
            <w:r w:rsidRPr="005B2A08">
              <w:rPr>
                <w:rFonts w:ascii="Inter" w:hAnsi="Inter" w:cs="Arial"/>
                <w:sz w:val="20"/>
                <w:lang w:val="da-DK" w:eastAsia="sv-SE"/>
              </w:rPr>
              <w:t> </w:t>
            </w:r>
            <w:r w:rsidRPr="005B2A08">
              <w:rPr>
                <w:rFonts w:ascii="Inter" w:hAnsi="Inter"/>
                <w:sz w:val="20"/>
                <w:lang w:val="sv-SE" w:eastAsia="sv-SE"/>
              </w:rPr>
              <w:t> </w:t>
            </w:r>
          </w:p>
        </w:tc>
        <w:tc>
          <w:tcPr>
            <w:tcW w:w="3538" w:type="dxa"/>
            <w:tcBorders>
              <w:top w:val="nil"/>
              <w:left w:val="nil"/>
              <w:bottom w:val="single" w:sz="6" w:space="0" w:color="auto"/>
              <w:right w:val="single" w:sz="6" w:space="0" w:color="auto"/>
            </w:tcBorders>
            <w:vAlign w:val="bottom"/>
            <w:hideMark/>
          </w:tcPr>
          <w:p w14:paraId="57F6F99F" w14:textId="77777777" w:rsidR="00D925D4" w:rsidRPr="005B2A08" w:rsidRDefault="00D925D4" w:rsidP="00D925D4">
            <w:pPr>
              <w:spacing w:line="240" w:lineRule="auto"/>
              <w:textAlignment w:val="baseline"/>
              <w:rPr>
                <w:rFonts w:ascii="Inter" w:hAnsi="Inter"/>
                <w:sz w:val="20"/>
                <w:lang w:val="sv-SE" w:eastAsia="sv-SE"/>
              </w:rPr>
            </w:pPr>
            <w:r w:rsidRPr="005B2A08">
              <w:rPr>
                <w:rFonts w:ascii="Inter" w:hAnsi="Inter" w:cs="Arial"/>
                <w:sz w:val="20"/>
                <w:lang w:val="da-DK" w:eastAsia="sv-SE"/>
              </w:rPr>
              <w:t> </w:t>
            </w:r>
            <w:r w:rsidRPr="005B2A08">
              <w:rPr>
                <w:rFonts w:ascii="Inter" w:hAnsi="Inter"/>
                <w:sz w:val="20"/>
                <w:lang w:val="sv-SE" w:eastAsia="sv-SE"/>
              </w:rPr>
              <w:t> </w:t>
            </w:r>
          </w:p>
        </w:tc>
      </w:tr>
      <w:tr w:rsidR="00D925D4" w:rsidRPr="005B2A08" w14:paraId="2BA87DAE" w14:textId="77777777" w:rsidTr="00892316">
        <w:trPr>
          <w:trHeight w:val="300"/>
        </w:trPr>
        <w:tc>
          <w:tcPr>
            <w:tcW w:w="3513" w:type="dxa"/>
            <w:tcBorders>
              <w:top w:val="nil"/>
              <w:left w:val="single" w:sz="6" w:space="0" w:color="auto"/>
              <w:bottom w:val="single" w:sz="6" w:space="0" w:color="auto"/>
              <w:right w:val="single" w:sz="6" w:space="0" w:color="auto"/>
            </w:tcBorders>
            <w:hideMark/>
          </w:tcPr>
          <w:p w14:paraId="1AD9F1F8" w14:textId="3F0BDF5F" w:rsidR="00D925D4" w:rsidRPr="005B2A08" w:rsidRDefault="00D925D4" w:rsidP="00D925D4">
            <w:pPr>
              <w:spacing w:line="240" w:lineRule="auto"/>
              <w:textAlignment w:val="baseline"/>
              <w:rPr>
                <w:rFonts w:ascii="Inter" w:hAnsi="Inter"/>
                <w:sz w:val="20"/>
                <w:lang w:eastAsia="sv-SE"/>
              </w:rPr>
            </w:pPr>
            <w:r w:rsidRPr="005B2A08">
              <w:rPr>
                <w:rFonts w:ascii="Inter" w:hAnsi="Inter"/>
                <w:sz w:val="20"/>
              </w:rPr>
              <w:t>(x) other relevant information depending on specific circumstances, such as tax, litigation etc., which may have or have had in the recent past, significant effects on the Issuer and/or group’s financial position or profitability</w:t>
            </w:r>
          </w:p>
        </w:tc>
        <w:tc>
          <w:tcPr>
            <w:tcW w:w="1866" w:type="dxa"/>
            <w:tcBorders>
              <w:top w:val="nil"/>
              <w:left w:val="nil"/>
              <w:bottom w:val="single" w:sz="6" w:space="0" w:color="auto"/>
              <w:right w:val="single" w:sz="6" w:space="0" w:color="auto"/>
            </w:tcBorders>
            <w:vAlign w:val="bottom"/>
            <w:hideMark/>
          </w:tcPr>
          <w:p w14:paraId="36246D31" w14:textId="77777777" w:rsidR="00D925D4" w:rsidRPr="005B2A08" w:rsidRDefault="00D925D4" w:rsidP="00D925D4">
            <w:pPr>
              <w:spacing w:line="240" w:lineRule="auto"/>
              <w:textAlignment w:val="baseline"/>
              <w:rPr>
                <w:rFonts w:ascii="Inter" w:hAnsi="Inter"/>
                <w:sz w:val="20"/>
                <w:lang w:val="sv-SE" w:eastAsia="sv-SE"/>
              </w:rPr>
            </w:pPr>
            <w:r w:rsidRPr="005B2A08">
              <w:rPr>
                <w:rFonts w:ascii="Inter" w:hAnsi="Inter" w:cs="Arial"/>
                <w:sz w:val="20"/>
                <w:lang w:val="da-DK" w:eastAsia="sv-SE"/>
              </w:rPr>
              <w:t> </w:t>
            </w:r>
            <w:r w:rsidRPr="005B2A08">
              <w:rPr>
                <w:rFonts w:ascii="Inter" w:hAnsi="Inter"/>
                <w:sz w:val="20"/>
                <w:lang w:val="sv-SE" w:eastAsia="sv-SE"/>
              </w:rPr>
              <w:t> </w:t>
            </w:r>
          </w:p>
        </w:tc>
        <w:tc>
          <w:tcPr>
            <w:tcW w:w="3538" w:type="dxa"/>
            <w:tcBorders>
              <w:top w:val="nil"/>
              <w:left w:val="nil"/>
              <w:bottom w:val="single" w:sz="6" w:space="0" w:color="auto"/>
              <w:right w:val="single" w:sz="6" w:space="0" w:color="auto"/>
            </w:tcBorders>
            <w:vAlign w:val="bottom"/>
            <w:hideMark/>
          </w:tcPr>
          <w:p w14:paraId="2E7DD030" w14:textId="77777777" w:rsidR="00D925D4" w:rsidRPr="005B2A08" w:rsidRDefault="00D925D4" w:rsidP="00D925D4">
            <w:pPr>
              <w:spacing w:line="240" w:lineRule="auto"/>
              <w:textAlignment w:val="baseline"/>
              <w:rPr>
                <w:rFonts w:ascii="Inter" w:hAnsi="Inter"/>
                <w:sz w:val="20"/>
                <w:lang w:val="sv-SE" w:eastAsia="sv-SE"/>
              </w:rPr>
            </w:pPr>
            <w:r w:rsidRPr="005B2A08">
              <w:rPr>
                <w:rFonts w:ascii="Inter" w:hAnsi="Inter" w:cs="Arial"/>
                <w:sz w:val="20"/>
                <w:lang w:val="da-DK" w:eastAsia="sv-SE"/>
              </w:rPr>
              <w:t> </w:t>
            </w:r>
            <w:r w:rsidRPr="005B2A08">
              <w:rPr>
                <w:rFonts w:ascii="Inter" w:hAnsi="Inter"/>
                <w:sz w:val="20"/>
                <w:lang w:val="sv-SE" w:eastAsia="sv-SE"/>
              </w:rPr>
              <w:t> </w:t>
            </w:r>
          </w:p>
        </w:tc>
      </w:tr>
      <w:tr w:rsidR="00D925D4" w:rsidRPr="005B2A08" w14:paraId="15AE15A7" w14:textId="77777777" w:rsidTr="00892316">
        <w:trPr>
          <w:trHeight w:val="300"/>
        </w:trPr>
        <w:tc>
          <w:tcPr>
            <w:tcW w:w="3513" w:type="dxa"/>
            <w:tcBorders>
              <w:top w:val="nil"/>
              <w:left w:val="single" w:sz="6" w:space="0" w:color="auto"/>
              <w:bottom w:val="single" w:sz="6" w:space="0" w:color="auto"/>
              <w:right w:val="single" w:sz="6" w:space="0" w:color="auto"/>
            </w:tcBorders>
            <w:hideMark/>
          </w:tcPr>
          <w:p w14:paraId="79EA578C" w14:textId="1B89C1A2" w:rsidR="00D925D4" w:rsidRPr="005B2A08" w:rsidRDefault="00D925D4" w:rsidP="00D925D4">
            <w:pPr>
              <w:spacing w:line="240" w:lineRule="auto"/>
              <w:textAlignment w:val="baseline"/>
              <w:rPr>
                <w:rFonts w:ascii="Inter" w:hAnsi="Inter"/>
                <w:sz w:val="20"/>
                <w:lang w:eastAsia="sv-SE"/>
              </w:rPr>
            </w:pPr>
            <w:r w:rsidRPr="005B2A08">
              <w:rPr>
                <w:rFonts w:ascii="Inter" w:hAnsi="Inter"/>
                <w:sz w:val="20"/>
              </w:rPr>
              <w:t>(xi) the identity of any liquidity provider retained by the Issuer</w:t>
            </w:r>
          </w:p>
        </w:tc>
        <w:tc>
          <w:tcPr>
            <w:tcW w:w="1866" w:type="dxa"/>
            <w:tcBorders>
              <w:top w:val="nil"/>
              <w:left w:val="nil"/>
              <w:bottom w:val="single" w:sz="6" w:space="0" w:color="auto"/>
              <w:right w:val="single" w:sz="6" w:space="0" w:color="auto"/>
            </w:tcBorders>
            <w:vAlign w:val="bottom"/>
            <w:hideMark/>
          </w:tcPr>
          <w:p w14:paraId="2E2D7FCF" w14:textId="77777777" w:rsidR="00D925D4" w:rsidRPr="005B2A08" w:rsidRDefault="00D925D4" w:rsidP="00D925D4">
            <w:pPr>
              <w:spacing w:line="240" w:lineRule="auto"/>
              <w:textAlignment w:val="baseline"/>
              <w:rPr>
                <w:rFonts w:ascii="Inter" w:hAnsi="Inter"/>
                <w:sz w:val="20"/>
                <w:lang w:eastAsia="sv-SE"/>
              </w:rPr>
            </w:pPr>
            <w:r w:rsidRPr="005B2A08">
              <w:rPr>
                <w:rFonts w:ascii="Inter" w:hAnsi="Inter"/>
                <w:sz w:val="20"/>
                <w:lang w:eastAsia="sv-SE"/>
              </w:rPr>
              <w:t> </w:t>
            </w:r>
          </w:p>
        </w:tc>
        <w:tc>
          <w:tcPr>
            <w:tcW w:w="3538" w:type="dxa"/>
            <w:tcBorders>
              <w:top w:val="nil"/>
              <w:left w:val="nil"/>
              <w:bottom w:val="single" w:sz="6" w:space="0" w:color="auto"/>
              <w:right w:val="single" w:sz="6" w:space="0" w:color="auto"/>
            </w:tcBorders>
            <w:vAlign w:val="bottom"/>
            <w:hideMark/>
          </w:tcPr>
          <w:p w14:paraId="228CFC0C" w14:textId="77777777" w:rsidR="00D925D4" w:rsidRPr="005B2A08" w:rsidRDefault="00D925D4" w:rsidP="00D925D4">
            <w:pPr>
              <w:spacing w:line="240" w:lineRule="auto"/>
              <w:textAlignment w:val="baseline"/>
              <w:rPr>
                <w:rFonts w:ascii="Inter" w:hAnsi="Inter"/>
                <w:sz w:val="20"/>
                <w:lang w:eastAsia="sv-SE"/>
              </w:rPr>
            </w:pPr>
            <w:r w:rsidRPr="005B2A08">
              <w:rPr>
                <w:rFonts w:ascii="Inter" w:hAnsi="Inter"/>
                <w:sz w:val="20"/>
                <w:lang w:eastAsia="sv-SE"/>
              </w:rPr>
              <w:t> </w:t>
            </w:r>
          </w:p>
        </w:tc>
      </w:tr>
      <w:tr w:rsidR="00D925D4" w:rsidRPr="005B2A08" w14:paraId="343D47C0" w14:textId="77777777" w:rsidTr="00892316">
        <w:trPr>
          <w:trHeight w:val="300"/>
        </w:trPr>
        <w:tc>
          <w:tcPr>
            <w:tcW w:w="3513" w:type="dxa"/>
            <w:tcBorders>
              <w:top w:val="nil"/>
              <w:left w:val="nil"/>
              <w:bottom w:val="nil"/>
              <w:right w:val="nil"/>
            </w:tcBorders>
            <w:vAlign w:val="bottom"/>
            <w:hideMark/>
          </w:tcPr>
          <w:p w14:paraId="52817179" w14:textId="77777777" w:rsidR="00D925D4" w:rsidRPr="005B2A08" w:rsidRDefault="00D925D4" w:rsidP="00D925D4">
            <w:pPr>
              <w:spacing w:line="240" w:lineRule="auto"/>
              <w:textAlignment w:val="baseline"/>
              <w:rPr>
                <w:rFonts w:ascii="Inter" w:hAnsi="Inter"/>
                <w:sz w:val="20"/>
                <w:lang w:eastAsia="sv-SE"/>
              </w:rPr>
            </w:pPr>
          </w:p>
        </w:tc>
        <w:tc>
          <w:tcPr>
            <w:tcW w:w="1866" w:type="dxa"/>
            <w:tcBorders>
              <w:top w:val="nil"/>
              <w:left w:val="nil"/>
              <w:bottom w:val="nil"/>
              <w:right w:val="nil"/>
            </w:tcBorders>
            <w:vAlign w:val="bottom"/>
            <w:hideMark/>
          </w:tcPr>
          <w:p w14:paraId="4AEB0593" w14:textId="77777777" w:rsidR="00D925D4" w:rsidRPr="005B2A08" w:rsidRDefault="00D925D4" w:rsidP="00D925D4">
            <w:pPr>
              <w:spacing w:line="240" w:lineRule="auto"/>
              <w:textAlignment w:val="baseline"/>
              <w:rPr>
                <w:rFonts w:ascii="Inter" w:hAnsi="Inter"/>
                <w:sz w:val="20"/>
                <w:lang w:eastAsia="sv-SE"/>
              </w:rPr>
            </w:pPr>
            <w:r w:rsidRPr="005B2A08">
              <w:rPr>
                <w:rFonts w:ascii="Inter" w:hAnsi="Inter"/>
                <w:sz w:val="20"/>
                <w:lang w:eastAsia="sv-SE"/>
              </w:rPr>
              <w:t> </w:t>
            </w:r>
          </w:p>
        </w:tc>
        <w:tc>
          <w:tcPr>
            <w:tcW w:w="3538" w:type="dxa"/>
            <w:tcBorders>
              <w:top w:val="nil"/>
              <w:left w:val="nil"/>
              <w:bottom w:val="nil"/>
              <w:right w:val="nil"/>
            </w:tcBorders>
            <w:vAlign w:val="bottom"/>
            <w:hideMark/>
          </w:tcPr>
          <w:p w14:paraId="3541B158" w14:textId="77777777" w:rsidR="00D925D4" w:rsidRPr="005B2A08" w:rsidRDefault="00D925D4" w:rsidP="00D925D4">
            <w:pPr>
              <w:spacing w:line="240" w:lineRule="auto"/>
              <w:textAlignment w:val="baseline"/>
              <w:rPr>
                <w:rFonts w:ascii="Inter" w:hAnsi="Inter"/>
                <w:sz w:val="20"/>
                <w:lang w:eastAsia="sv-SE"/>
              </w:rPr>
            </w:pPr>
            <w:r w:rsidRPr="005B2A08">
              <w:rPr>
                <w:rFonts w:ascii="Inter" w:hAnsi="Inter"/>
                <w:sz w:val="20"/>
                <w:lang w:eastAsia="sv-SE"/>
              </w:rPr>
              <w:t> </w:t>
            </w:r>
          </w:p>
        </w:tc>
      </w:tr>
      <w:tr w:rsidR="00D925D4" w:rsidRPr="005B2A08" w14:paraId="696C5D86" w14:textId="77777777" w:rsidTr="003F0491">
        <w:trPr>
          <w:trHeight w:val="300"/>
        </w:trPr>
        <w:tc>
          <w:tcPr>
            <w:tcW w:w="3513" w:type="dxa"/>
            <w:tcBorders>
              <w:top w:val="single" w:sz="6" w:space="0" w:color="auto"/>
              <w:left w:val="single" w:sz="6" w:space="0" w:color="auto"/>
              <w:bottom w:val="single" w:sz="6" w:space="0" w:color="auto"/>
              <w:right w:val="single" w:sz="6" w:space="0" w:color="auto"/>
            </w:tcBorders>
            <w:shd w:val="clear" w:color="auto" w:fill="3B3838" w:themeFill="background2" w:themeFillShade="40"/>
            <w:hideMark/>
          </w:tcPr>
          <w:p w14:paraId="2DF64EDE" w14:textId="5B98E881" w:rsidR="00D925D4" w:rsidRPr="005B2A08" w:rsidRDefault="00D925D4" w:rsidP="00405E2B">
            <w:pPr>
              <w:spacing w:line="240" w:lineRule="auto"/>
              <w:textAlignment w:val="baseline"/>
              <w:rPr>
                <w:rFonts w:ascii="Inter" w:hAnsi="Inter"/>
                <w:sz w:val="20"/>
                <w:lang w:val="sv-SE" w:eastAsia="sv-SE"/>
              </w:rPr>
            </w:pPr>
            <w:r w:rsidRPr="005B2A08">
              <w:rPr>
                <w:rFonts w:ascii="Inter" w:hAnsi="Inter"/>
                <w:b/>
                <w:bCs/>
                <w:sz w:val="20"/>
                <w:lang w:eastAsia="sv-SE"/>
              </w:rPr>
              <w:t>4.2 (b) Instrument Information</w:t>
            </w:r>
            <w:r w:rsidRPr="005B2A08">
              <w:rPr>
                <w:rFonts w:ascii="Inter" w:hAnsi="Inter"/>
                <w:sz w:val="20"/>
                <w:lang w:val="sv-SE" w:eastAsia="sv-SE"/>
              </w:rPr>
              <w:t> </w:t>
            </w:r>
          </w:p>
        </w:tc>
        <w:tc>
          <w:tcPr>
            <w:tcW w:w="1866" w:type="dxa"/>
            <w:tcBorders>
              <w:top w:val="single" w:sz="6" w:space="0" w:color="auto"/>
              <w:left w:val="nil"/>
              <w:bottom w:val="single" w:sz="6" w:space="0" w:color="auto"/>
              <w:right w:val="single" w:sz="6" w:space="0" w:color="auto"/>
            </w:tcBorders>
            <w:shd w:val="clear" w:color="auto" w:fill="3B3838" w:themeFill="background2" w:themeFillShade="40"/>
            <w:hideMark/>
          </w:tcPr>
          <w:p w14:paraId="5D3C6460" w14:textId="77777777" w:rsidR="00D925D4" w:rsidRPr="005B2A08" w:rsidRDefault="00D925D4" w:rsidP="00405E2B">
            <w:pPr>
              <w:spacing w:line="240" w:lineRule="auto"/>
              <w:textAlignment w:val="baseline"/>
              <w:rPr>
                <w:rFonts w:ascii="Inter" w:hAnsi="Inter"/>
                <w:sz w:val="20"/>
                <w:lang w:eastAsia="sv-SE"/>
              </w:rPr>
            </w:pPr>
            <w:r w:rsidRPr="005B2A08">
              <w:rPr>
                <w:rFonts w:ascii="Inter" w:hAnsi="Inter"/>
                <w:b/>
                <w:bCs/>
                <w:sz w:val="20"/>
                <w:lang w:eastAsia="sv-SE"/>
              </w:rPr>
              <w:t>Link to document satisfying the rule</w:t>
            </w:r>
            <w:r w:rsidRPr="005B2A08">
              <w:rPr>
                <w:rFonts w:ascii="Inter" w:hAnsi="Inter"/>
                <w:sz w:val="20"/>
                <w:lang w:eastAsia="sv-SE"/>
              </w:rPr>
              <w:t> </w:t>
            </w:r>
          </w:p>
        </w:tc>
        <w:tc>
          <w:tcPr>
            <w:tcW w:w="3538" w:type="dxa"/>
            <w:tcBorders>
              <w:top w:val="single" w:sz="6" w:space="0" w:color="auto"/>
              <w:left w:val="nil"/>
              <w:bottom w:val="single" w:sz="6" w:space="0" w:color="auto"/>
              <w:right w:val="single" w:sz="6" w:space="0" w:color="auto"/>
            </w:tcBorders>
            <w:shd w:val="clear" w:color="auto" w:fill="3B3838" w:themeFill="background2" w:themeFillShade="40"/>
            <w:hideMark/>
          </w:tcPr>
          <w:p w14:paraId="70E3ACE2" w14:textId="77777777" w:rsidR="00D925D4" w:rsidRPr="005B2A08" w:rsidRDefault="00D925D4" w:rsidP="00405E2B">
            <w:pPr>
              <w:spacing w:line="240" w:lineRule="auto"/>
              <w:textAlignment w:val="baseline"/>
              <w:rPr>
                <w:rFonts w:ascii="Inter" w:hAnsi="Inter"/>
                <w:sz w:val="20"/>
                <w:lang w:val="sv-SE" w:eastAsia="sv-SE"/>
              </w:rPr>
            </w:pPr>
            <w:r w:rsidRPr="005B2A08">
              <w:rPr>
                <w:rFonts w:ascii="Inter" w:hAnsi="Inter"/>
                <w:b/>
                <w:bCs/>
                <w:sz w:val="20"/>
                <w:lang w:val="da-DK" w:eastAsia="sv-SE"/>
              </w:rPr>
              <w:t>Reference in document</w:t>
            </w:r>
            <w:r w:rsidRPr="005B2A08">
              <w:rPr>
                <w:rFonts w:ascii="Inter" w:hAnsi="Inter"/>
                <w:sz w:val="20"/>
                <w:lang w:val="sv-SE" w:eastAsia="sv-SE"/>
              </w:rPr>
              <w:t> </w:t>
            </w:r>
          </w:p>
        </w:tc>
      </w:tr>
      <w:tr w:rsidR="00405E2B" w:rsidRPr="005B2A08" w14:paraId="2E81F765" w14:textId="77777777" w:rsidTr="00892316">
        <w:trPr>
          <w:trHeight w:val="300"/>
        </w:trPr>
        <w:tc>
          <w:tcPr>
            <w:tcW w:w="3513" w:type="dxa"/>
            <w:tcBorders>
              <w:top w:val="nil"/>
              <w:left w:val="single" w:sz="6" w:space="0" w:color="auto"/>
              <w:bottom w:val="single" w:sz="6" w:space="0" w:color="auto"/>
              <w:right w:val="single" w:sz="6" w:space="0" w:color="auto"/>
            </w:tcBorders>
            <w:hideMark/>
          </w:tcPr>
          <w:p w14:paraId="7D4CCE98" w14:textId="2D27E3EB" w:rsidR="00405E2B" w:rsidRPr="005B2A08" w:rsidRDefault="00405E2B" w:rsidP="00405E2B">
            <w:pPr>
              <w:spacing w:line="240" w:lineRule="auto"/>
              <w:textAlignment w:val="baseline"/>
              <w:rPr>
                <w:rFonts w:ascii="Inter" w:hAnsi="Inter"/>
                <w:sz w:val="20"/>
                <w:lang w:eastAsia="sv-SE"/>
              </w:rPr>
            </w:pPr>
            <w:r w:rsidRPr="005B2A08">
              <w:rPr>
                <w:rFonts w:ascii="Inter" w:hAnsi="Inter"/>
                <w:sz w:val="20"/>
              </w:rPr>
              <w:t>(i) a description of the Instruments including the terms and conditions or pricing supplement for the issue</w:t>
            </w:r>
          </w:p>
        </w:tc>
        <w:tc>
          <w:tcPr>
            <w:tcW w:w="1866" w:type="dxa"/>
            <w:tcBorders>
              <w:top w:val="nil"/>
              <w:left w:val="nil"/>
              <w:bottom w:val="single" w:sz="6" w:space="0" w:color="auto"/>
              <w:right w:val="single" w:sz="6" w:space="0" w:color="auto"/>
            </w:tcBorders>
            <w:vAlign w:val="bottom"/>
            <w:hideMark/>
          </w:tcPr>
          <w:p w14:paraId="069E9329" w14:textId="77777777" w:rsidR="00405E2B" w:rsidRPr="005B2A08" w:rsidRDefault="00405E2B" w:rsidP="00405E2B">
            <w:pPr>
              <w:spacing w:line="240" w:lineRule="auto"/>
              <w:textAlignment w:val="baseline"/>
              <w:rPr>
                <w:rFonts w:ascii="Inter" w:hAnsi="Inter"/>
                <w:sz w:val="20"/>
                <w:lang w:val="sv-SE" w:eastAsia="sv-SE"/>
              </w:rPr>
            </w:pPr>
            <w:r w:rsidRPr="005B2A08">
              <w:rPr>
                <w:rFonts w:ascii="Inter" w:hAnsi="Inter" w:cs="Arial"/>
                <w:sz w:val="20"/>
                <w:lang w:val="da-DK" w:eastAsia="sv-SE"/>
              </w:rPr>
              <w:t> </w:t>
            </w:r>
            <w:r w:rsidRPr="005B2A08">
              <w:rPr>
                <w:rFonts w:ascii="Inter" w:hAnsi="Inter"/>
                <w:sz w:val="20"/>
                <w:lang w:val="sv-SE" w:eastAsia="sv-SE"/>
              </w:rPr>
              <w:t> </w:t>
            </w:r>
          </w:p>
        </w:tc>
        <w:tc>
          <w:tcPr>
            <w:tcW w:w="3538" w:type="dxa"/>
            <w:tcBorders>
              <w:top w:val="nil"/>
              <w:left w:val="nil"/>
              <w:bottom w:val="single" w:sz="6" w:space="0" w:color="auto"/>
              <w:right w:val="single" w:sz="6" w:space="0" w:color="auto"/>
            </w:tcBorders>
            <w:vAlign w:val="bottom"/>
            <w:hideMark/>
          </w:tcPr>
          <w:p w14:paraId="0C803BC7" w14:textId="77777777" w:rsidR="00405E2B" w:rsidRPr="005B2A08" w:rsidRDefault="00405E2B" w:rsidP="00405E2B">
            <w:pPr>
              <w:spacing w:line="240" w:lineRule="auto"/>
              <w:textAlignment w:val="baseline"/>
              <w:rPr>
                <w:rFonts w:ascii="Inter" w:hAnsi="Inter"/>
                <w:sz w:val="20"/>
                <w:lang w:val="sv-SE" w:eastAsia="sv-SE"/>
              </w:rPr>
            </w:pPr>
            <w:r w:rsidRPr="005B2A08">
              <w:rPr>
                <w:rFonts w:ascii="Inter" w:hAnsi="Inter" w:cs="Arial"/>
                <w:sz w:val="20"/>
                <w:lang w:val="da-DK" w:eastAsia="sv-SE"/>
              </w:rPr>
              <w:t> </w:t>
            </w:r>
            <w:r w:rsidRPr="005B2A08">
              <w:rPr>
                <w:rFonts w:ascii="Inter" w:hAnsi="Inter"/>
                <w:sz w:val="20"/>
                <w:lang w:val="sv-SE" w:eastAsia="sv-SE"/>
              </w:rPr>
              <w:t> </w:t>
            </w:r>
          </w:p>
        </w:tc>
      </w:tr>
      <w:tr w:rsidR="00405E2B" w:rsidRPr="005B2A08" w14:paraId="3D05D872" w14:textId="77777777" w:rsidTr="00892316">
        <w:trPr>
          <w:trHeight w:val="300"/>
        </w:trPr>
        <w:tc>
          <w:tcPr>
            <w:tcW w:w="3513" w:type="dxa"/>
            <w:tcBorders>
              <w:top w:val="nil"/>
              <w:left w:val="single" w:sz="6" w:space="0" w:color="auto"/>
              <w:bottom w:val="single" w:sz="6" w:space="0" w:color="auto"/>
              <w:right w:val="single" w:sz="6" w:space="0" w:color="auto"/>
            </w:tcBorders>
            <w:hideMark/>
          </w:tcPr>
          <w:p w14:paraId="4AFC96B6" w14:textId="62A8A966" w:rsidR="00405E2B" w:rsidRPr="005B2A08" w:rsidRDefault="00405E2B" w:rsidP="00405E2B">
            <w:pPr>
              <w:spacing w:line="240" w:lineRule="auto"/>
              <w:textAlignment w:val="baseline"/>
              <w:rPr>
                <w:rFonts w:ascii="Inter" w:hAnsi="Inter"/>
                <w:sz w:val="20"/>
                <w:lang w:eastAsia="sv-SE"/>
              </w:rPr>
            </w:pPr>
            <w:r w:rsidRPr="005B2A08">
              <w:rPr>
                <w:rFonts w:ascii="Inter" w:hAnsi="Inter"/>
                <w:sz w:val="20"/>
              </w:rPr>
              <w:t>(ii) a description of the ranking of the Instruments being admitted to trading, including summaries of any clauses that are intended to affect ranking or subordinate the Instruments to any present or future liabilities of the Issuer</w:t>
            </w:r>
          </w:p>
        </w:tc>
        <w:tc>
          <w:tcPr>
            <w:tcW w:w="1866" w:type="dxa"/>
            <w:tcBorders>
              <w:top w:val="nil"/>
              <w:left w:val="nil"/>
              <w:bottom w:val="single" w:sz="6" w:space="0" w:color="auto"/>
              <w:right w:val="single" w:sz="6" w:space="0" w:color="auto"/>
            </w:tcBorders>
            <w:vAlign w:val="bottom"/>
            <w:hideMark/>
          </w:tcPr>
          <w:p w14:paraId="572EA6B9" w14:textId="77777777" w:rsidR="00405E2B" w:rsidRPr="005B2A08" w:rsidRDefault="00405E2B" w:rsidP="00405E2B">
            <w:pPr>
              <w:spacing w:line="240" w:lineRule="auto"/>
              <w:textAlignment w:val="baseline"/>
              <w:rPr>
                <w:rFonts w:ascii="Inter" w:hAnsi="Inter"/>
                <w:sz w:val="20"/>
                <w:lang w:val="sv-SE" w:eastAsia="sv-SE"/>
              </w:rPr>
            </w:pPr>
            <w:r w:rsidRPr="005B2A08">
              <w:rPr>
                <w:rFonts w:ascii="Inter" w:hAnsi="Inter" w:cs="Arial"/>
                <w:sz w:val="20"/>
                <w:lang w:val="da-DK" w:eastAsia="sv-SE"/>
              </w:rPr>
              <w:t> </w:t>
            </w:r>
            <w:r w:rsidRPr="005B2A08">
              <w:rPr>
                <w:rFonts w:ascii="Inter" w:hAnsi="Inter"/>
                <w:sz w:val="20"/>
                <w:lang w:val="sv-SE" w:eastAsia="sv-SE"/>
              </w:rPr>
              <w:t> </w:t>
            </w:r>
          </w:p>
        </w:tc>
        <w:tc>
          <w:tcPr>
            <w:tcW w:w="3538" w:type="dxa"/>
            <w:tcBorders>
              <w:top w:val="nil"/>
              <w:left w:val="nil"/>
              <w:bottom w:val="single" w:sz="6" w:space="0" w:color="auto"/>
              <w:right w:val="single" w:sz="6" w:space="0" w:color="auto"/>
            </w:tcBorders>
            <w:vAlign w:val="bottom"/>
            <w:hideMark/>
          </w:tcPr>
          <w:p w14:paraId="33BEE28C" w14:textId="77777777" w:rsidR="00405E2B" w:rsidRPr="005B2A08" w:rsidRDefault="00405E2B" w:rsidP="00405E2B">
            <w:pPr>
              <w:spacing w:line="240" w:lineRule="auto"/>
              <w:textAlignment w:val="baseline"/>
              <w:rPr>
                <w:rFonts w:ascii="Inter" w:hAnsi="Inter"/>
                <w:sz w:val="20"/>
                <w:lang w:val="sv-SE" w:eastAsia="sv-SE"/>
              </w:rPr>
            </w:pPr>
            <w:r w:rsidRPr="005B2A08">
              <w:rPr>
                <w:rFonts w:ascii="Inter" w:hAnsi="Inter" w:cs="Arial"/>
                <w:sz w:val="20"/>
                <w:lang w:val="da-DK" w:eastAsia="sv-SE"/>
              </w:rPr>
              <w:t> </w:t>
            </w:r>
            <w:r w:rsidRPr="005B2A08">
              <w:rPr>
                <w:rFonts w:ascii="Inter" w:hAnsi="Inter"/>
                <w:sz w:val="20"/>
                <w:lang w:val="sv-SE" w:eastAsia="sv-SE"/>
              </w:rPr>
              <w:t> </w:t>
            </w:r>
          </w:p>
        </w:tc>
      </w:tr>
      <w:tr w:rsidR="00D925D4" w:rsidRPr="005B2A08" w14:paraId="1C7C573F" w14:textId="77777777" w:rsidTr="00892316">
        <w:trPr>
          <w:trHeight w:val="300"/>
        </w:trPr>
        <w:tc>
          <w:tcPr>
            <w:tcW w:w="3513" w:type="dxa"/>
            <w:tcBorders>
              <w:top w:val="nil"/>
              <w:left w:val="single" w:sz="6" w:space="0" w:color="auto"/>
              <w:bottom w:val="single" w:sz="6" w:space="0" w:color="auto"/>
              <w:right w:val="single" w:sz="6" w:space="0" w:color="auto"/>
            </w:tcBorders>
            <w:vAlign w:val="bottom"/>
            <w:hideMark/>
          </w:tcPr>
          <w:p w14:paraId="244D611C" w14:textId="558A1B75" w:rsidR="00D925D4" w:rsidRPr="005B2A08" w:rsidRDefault="00405E2B" w:rsidP="00D925D4">
            <w:pPr>
              <w:spacing w:line="240" w:lineRule="auto"/>
              <w:textAlignment w:val="baseline"/>
              <w:rPr>
                <w:rFonts w:ascii="Inter" w:hAnsi="Inter"/>
                <w:sz w:val="20"/>
                <w:lang w:eastAsia="sv-SE"/>
              </w:rPr>
            </w:pPr>
            <w:r w:rsidRPr="005B2A08">
              <w:rPr>
                <w:rFonts w:ascii="Inter" w:hAnsi="Inter"/>
                <w:sz w:val="20"/>
              </w:rPr>
              <w:t xml:space="preserve">(iii) a description of any </w:t>
            </w:r>
            <w:bookmarkStart w:id="2" w:name="_Hlk188885755"/>
            <w:r w:rsidRPr="005B2A08">
              <w:rPr>
                <w:rFonts w:ascii="Inter" w:hAnsi="Inter"/>
                <w:sz w:val="20"/>
              </w:rPr>
              <w:t>arrangement intended to ensure that any obligation of the Issuer material to the Instruments will be duly serviced whether in form of a guarantee or similar</w:t>
            </w:r>
            <w:bookmarkEnd w:id="2"/>
            <w:r w:rsidRPr="005B2A08">
              <w:rPr>
                <w:rFonts w:ascii="Inter" w:hAnsi="Inter"/>
                <w:sz w:val="20"/>
              </w:rPr>
              <w:t xml:space="preserve">. The description must include a description </w:t>
            </w:r>
            <w:proofErr w:type="gramStart"/>
            <w:r w:rsidRPr="005B2A08">
              <w:rPr>
                <w:rFonts w:ascii="Inter" w:hAnsi="Inter"/>
                <w:sz w:val="20"/>
              </w:rPr>
              <w:t>similar to</w:t>
            </w:r>
            <w:proofErr w:type="gramEnd"/>
            <w:r w:rsidRPr="005B2A08">
              <w:rPr>
                <w:rFonts w:ascii="Inter" w:hAnsi="Inter"/>
                <w:sz w:val="20"/>
              </w:rPr>
              <w:t xml:space="preserve"> the description of the Issuer of any such guarantor or similar</w:t>
            </w:r>
          </w:p>
        </w:tc>
        <w:tc>
          <w:tcPr>
            <w:tcW w:w="1866" w:type="dxa"/>
            <w:tcBorders>
              <w:top w:val="nil"/>
              <w:left w:val="nil"/>
              <w:bottom w:val="single" w:sz="6" w:space="0" w:color="auto"/>
              <w:right w:val="single" w:sz="6" w:space="0" w:color="auto"/>
            </w:tcBorders>
            <w:vAlign w:val="bottom"/>
            <w:hideMark/>
          </w:tcPr>
          <w:p w14:paraId="479344E4" w14:textId="77777777" w:rsidR="00D925D4" w:rsidRPr="005B2A08" w:rsidRDefault="00D925D4" w:rsidP="00D925D4">
            <w:pPr>
              <w:spacing w:line="240" w:lineRule="auto"/>
              <w:textAlignment w:val="baseline"/>
              <w:rPr>
                <w:rFonts w:ascii="Inter" w:hAnsi="Inter"/>
                <w:sz w:val="20"/>
                <w:lang w:val="sv-SE" w:eastAsia="sv-SE"/>
              </w:rPr>
            </w:pPr>
            <w:r w:rsidRPr="005B2A08">
              <w:rPr>
                <w:rFonts w:ascii="Inter" w:hAnsi="Inter" w:cs="Arial"/>
                <w:sz w:val="20"/>
                <w:lang w:val="da-DK" w:eastAsia="sv-SE"/>
              </w:rPr>
              <w:t> </w:t>
            </w:r>
            <w:r w:rsidRPr="005B2A08">
              <w:rPr>
                <w:rFonts w:ascii="Inter" w:hAnsi="Inter"/>
                <w:sz w:val="20"/>
                <w:lang w:val="sv-SE" w:eastAsia="sv-SE"/>
              </w:rPr>
              <w:t> </w:t>
            </w:r>
          </w:p>
        </w:tc>
        <w:tc>
          <w:tcPr>
            <w:tcW w:w="3538" w:type="dxa"/>
            <w:tcBorders>
              <w:top w:val="nil"/>
              <w:left w:val="nil"/>
              <w:bottom w:val="single" w:sz="6" w:space="0" w:color="auto"/>
              <w:right w:val="single" w:sz="6" w:space="0" w:color="auto"/>
            </w:tcBorders>
            <w:vAlign w:val="bottom"/>
            <w:hideMark/>
          </w:tcPr>
          <w:p w14:paraId="77C6B0DF" w14:textId="77777777" w:rsidR="00D925D4" w:rsidRPr="005B2A08" w:rsidRDefault="00D925D4" w:rsidP="00D925D4">
            <w:pPr>
              <w:spacing w:line="240" w:lineRule="auto"/>
              <w:textAlignment w:val="baseline"/>
              <w:rPr>
                <w:rFonts w:ascii="Inter" w:hAnsi="Inter"/>
                <w:sz w:val="20"/>
                <w:lang w:val="sv-SE" w:eastAsia="sv-SE"/>
              </w:rPr>
            </w:pPr>
            <w:r w:rsidRPr="005B2A08">
              <w:rPr>
                <w:rFonts w:ascii="Inter" w:hAnsi="Inter" w:cs="Arial"/>
                <w:sz w:val="20"/>
                <w:lang w:val="da-DK" w:eastAsia="sv-SE"/>
              </w:rPr>
              <w:t> </w:t>
            </w:r>
            <w:r w:rsidRPr="005B2A08">
              <w:rPr>
                <w:rFonts w:ascii="Inter" w:hAnsi="Inter"/>
                <w:sz w:val="20"/>
                <w:lang w:val="sv-SE" w:eastAsia="sv-SE"/>
              </w:rPr>
              <w:t> </w:t>
            </w:r>
          </w:p>
        </w:tc>
      </w:tr>
      <w:tr w:rsidR="00405E2B" w:rsidRPr="005B2A08" w14:paraId="3C39F173" w14:textId="77777777" w:rsidTr="00892316">
        <w:trPr>
          <w:trHeight w:val="300"/>
        </w:trPr>
        <w:tc>
          <w:tcPr>
            <w:tcW w:w="3513" w:type="dxa"/>
            <w:tcBorders>
              <w:top w:val="nil"/>
              <w:left w:val="single" w:sz="6" w:space="0" w:color="auto"/>
              <w:bottom w:val="single" w:sz="6" w:space="0" w:color="auto"/>
              <w:right w:val="single" w:sz="6" w:space="0" w:color="auto"/>
            </w:tcBorders>
            <w:hideMark/>
          </w:tcPr>
          <w:p w14:paraId="692BC5A7" w14:textId="2746560F" w:rsidR="00405E2B" w:rsidRPr="005B2A08" w:rsidRDefault="00405E2B" w:rsidP="00405E2B">
            <w:pPr>
              <w:spacing w:line="240" w:lineRule="auto"/>
              <w:textAlignment w:val="baseline"/>
              <w:rPr>
                <w:rFonts w:ascii="Inter" w:hAnsi="Inter"/>
                <w:sz w:val="20"/>
                <w:lang w:eastAsia="sv-SE"/>
              </w:rPr>
            </w:pPr>
            <w:r w:rsidRPr="005B2A08">
              <w:rPr>
                <w:rFonts w:ascii="Inter" w:hAnsi="Inter"/>
                <w:sz w:val="20"/>
              </w:rPr>
              <w:t xml:space="preserve">(iv) </w:t>
            </w:r>
            <w:bookmarkStart w:id="3" w:name="_Hlk188886103"/>
            <w:r w:rsidRPr="005B2A08">
              <w:rPr>
                <w:rFonts w:ascii="Inter" w:hAnsi="Inter"/>
                <w:sz w:val="20"/>
              </w:rPr>
              <w:t>a description of any assets backing the Instruments</w:t>
            </w:r>
            <w:bookmarkEnd w:id="3"/>
            <w:r w:rsidRPr="005B2A08">
              <w:rPr>
                <w:rFonts w:ascii="Inter" w:hAnsi="Inter"/>
                <w:sz w:val="20"/>
              </w:rPr>
              <w:t xml:space="preserve">. The description must include all relevant information about the assets </w:t>
            </w:r>
            <w:r w:rsidRPr="005B2A08">
              <w:rPr>
                <w:rFonts w:ascii="Inter" w:hAnsi="Inter"/>
                <w:sz w:val="20"/>
              </w:rPr>
              <w:lastRenderedPageBreak/>
              <w:t>backing the Instruments. In addition, the description must include a confirmation that the assets backing the Instruments have characteristics that demonstrate the capacity to produce funds to service any payments due and payable on the Instruments</w:t>
            </w:r>
          </w:p>
        </w:tc>
        <w:tc>
          <w:tcPr>
            <w:tcW w:w="1866" w:type="dxa"/>
            <w:tcBorders>
              <w:top w:val="nil"/>
              <w:left w:val="nil"/>
              <w:bottom w:val="single" w:sz="6" w:space="0" w:color="auto"/>
              <w:right w:val="single" w:sz="6" w:space="0" w:color="auto"/>
            </w:tcBorders>
            <w:vAlign w:val="bottom"/>
            <w:hideMark/>
          </w:tcPr>
          <w:p w14:paraId="4F4A9998" w14:textId="77777777" w:rsidR="00405E2B" w:rsidRPr="005B2A08" w:rsidRDefault="00405E2B" w:rsidP="00405E2B">
            <w:pPr>
              <w:spacing w:line="240" w:lineRule="auto"/>
              <w:textAlignment w:val="baseline"/>
              <w:rPr>
                <w:rFonts w:ascii="Inter" w:hAnsi="Inter"/>
                <w:sz w:val="20"/>
                <w:lang w:val="sv-SE" w:eastAsia="sv-SE"/>
              </w:rPr>
            </w:pPr>
            <w:r w:rsidRPr="005B2A08">
              <w:rPr>
                <w:rFonts w:ascii="Inter" w:hAnsi="Inter" w:cs="Arial"/>
                <w:sz w:val="20"/>
                <w:lang w:val="da-DK" w:eastAsia="sv-SE"/>
              </w:rPr>
              <w:lastRenderedPageBreak/>
              <w:t> </w:t>
            </w:r>
            <w:r w:rsidRPr="005B2A08">
              <w:rPr>
                <w:rFonts w:ascii="Inter" w:hAnsi="Inter"/>
                <w:sz w:val="20"/>
                <w:lang w:val="sv-SE" w:eastAsia="sv-SE"/>
              </w:rPr>
              <w:t> </w:t>
            </w:r>
          </w:p>
        </w:tc>
        <w:tc>
          <w:tcPr>
            <w:tcW w:w="3538" w:type="dxa"/>
            <w:tcBorders>
              <w:top w:val="nil"/>
              <w:left w:val="nil"/>
              <w:bottom w:val="single" w:sz="6" w:space="0" w:color="auto"/>
              <w:right w:val="single" w:sz="6" w:space="0" w:color="auto"/>
            </w:tcBorders>
            <w:vAlign w:val="bottom"/>
            <w:hideMark/>
          </w:tcPr>
          <w:p w14:paraId="7BF334B5" w14:textId="77777777" w:rsidR="00405E2B" w:rsidRPr="005B2A08" w:rsidRDefault="00405E2B" w:rsidP="00405E2B">
            <w:pPr>
              <w:spacing w:line="240" w:lineRule="auto"/>
              <w:textAlignment w:val="baseline"/>
              <w:rPr>
                <w:rFonts w:ascii="Inter" w:hAnsi="Inter"/>
                <w:sz w:val="20"/>
                <w:lang w:val="sv-SE" w:eastAsia="sv-SE"/>
              </w:rPr>
            </w:pPr>
            <w:r w:rsidRPr="005B2A08">
              <w:rPr>
                <w:rFonts w:ascii="Inter" w:hAnsi="Inter" w:cs="Arial"/>
                <w:sz w:val="20"/>
                <w:lang w:val="da-DK" w:eastAsia="sv-SE"/>
              </w:rPr>
              <w:t> </w:t>
            </w:r>
            <w:r w:rsidRPr="005B2A08">
              <w:rPr>
                <w:rFonts w:ascii="Inter" w:hAnsi="Inter"/>
                <w:sz w:val="20"/>
                <w:lang w:val="sv-SE" w:eastAsia="sv-SE"/>
              </w:rPr>
              <w:t> </w:t>
            </w:r>
          </w:p>
        </w:tc>
      </w:tr>
      <w:tr w:rsidR="00405E2B" w:rsidRPr="005B2A08" w14:paraId="2F395094" w14:textId="77777777" w:rsidTr="00892316">
        <w:trPr>
          <w:trHeight w:val="300"/>
        </w:trPr>
        <w:tc>
          <w:tcPr>
            <w:tcW w:w="3513" w:type="dxa"/>
            <w:tcBorders>
              <w:top w:val="nil"/>
              <w:left w:val="single" w:sz="6" w:space="0" w:color="auto"/>
              <w:bottom w:val="single" w:sz="6" w:space="0" w:color="auto"/>
              <w:right w:val="single" w:sz="6" w:space="0" w:color="auto"/>
            </w:tcBorders>
            <w:vAlign w:val="bottom"/>
            <w:hideMark/>
          </w:tcPr>
          <w:p w14:paraId="15F09F9F" w14:textId="1C660A9E" w:rsidR="00405E2B" w:rsidRPr="005B2A08" w:rsidRDefault="00405E2B" w:rsidP="00405E2B">
            <w:pPr>
              <w:spacing w:line="240" w:lineRule="auto"/>
              <w:textAlignment w:val="baseline"/>
              <w:rPr>
                <w:rFonts w:ascii="Inter" w:hAnsi="Inter"/>
                <w:sz w:val="20"/>
                <w:lang w:eastAsia="sv-SE"/>
              </w:rPr>
            </w:pPr>
            <w:r w:rsidRPr="005B2A08">
              <w:rPr>
                <w:rFonts w:ascii="Inter" w:hAnsi="Inter"/>
                <w:sz w:val="20"/>
              </w:rPr>
              <w:t>(v) details of any public credit ratings assigned to the Issuer.</w:t>
            </w:r>
          </w:p>
        </w:tc>
        <w:tc>
          <w:tcPr>
            <w:tcW w:w="1866" w:type="dxa"/>
            <w:tcBorders>
              <w:top w:val="nil"/>
              <w:left w:val="nil"/>
              <w:bottom w:val="single" w:sz="6" w:space="0" w:color="auto"/>
              <w:right w:val="single" w:sz="6" w:space="0" w:color="auto"/>
            </w:tcBorders>
            <w:vAlign w:val="bottom"/>
            <w:hideMark/>
          </w:tcPr>
          <w:p w14:paraId="4B285E3E" w14:textId="77777777" w:rsidR="00405E2B" w:rsidRPr="005B2A08" w:rsidRDefault="00405E2B" w:rsidP="00405E2B">
            <w:pPr>
              <w:spacing w:line="240" w:lineRule="auto"/>
              <w:textAlignment w:val="baseline"/>
              <w:rPr>
                <w:rFonts w:ascii="Inter" w:hAnsi="Inter"/>
                <w:sz w:val="20"/>
                <w:lang w:val="sv-SE" w:eastAsia="sv-SE"/>
              </w:rPr>
            </w:pPr>
            <w:r w:rsidRPr="005B2A08">
              <w:rPr>
                <w:rFonts w:ascii="Inter" w:hAnsi="Inter" w:cs="Arial"/>
                <w:sz w:val="20"/>
                <w:lang w:val="da-DK" w:eastAsia="sv-SE"/>
              </w:rPr>
              <w:t> </w:t>
            </w:r>
            <w:r w:rsidRPr="005B2A08">
              <w:rPr>
                <w:rFonts w:ascii="Inter" w:hAnsi="Inter"/>
                <w:sz w:val="20"/>
                <w:lang w:val="sv-SE" w:eastAsia="sv-SE"/>
              </w:rPr>
              <w:t> </w:t>
            </w:r>
          </w:p>
        </w:tc>
        <w:tc>
          <w:tcPr>
            <w:tcW w:w="3538" w:type="dxa"/>
            <w:tcBorders>
              <w:top w:val="nil"/>
              <w:left w:val="nil"/>
              <w:bottom w:val="single" w:sz="6" w:space="0" w:color="auto"/>
              <w:right w:val="single" w:sz="6" w:space="0" w:color="auto"/>
            </w:tcBorders>
            <w:vAlign w:val="bottom"/>
            <w:hideMark/>
          </w:tcPr>
          <w:p w14:paraId="66B4554D" w14:textId="77777777" w:rsidR="00405E2B" w:rsidRPr="005B2A08" w:rsidRDefault="00405E2B" w:rsidP="00405E2B">
            <w:pPr>
              <w:spacing w:line="240" w:lineRule="auto"/>
              <w:textAlignment w:val="baseline"/>
              <w:rPr>
                <w:rFonts w:ascii="Inter" w:hAnsi="Inter"/>
                <w:sz w:val="20"/>
                <w:lang w:val="sv-SE" w:eastAsia="sv-SE"/>
              </w:rPr>
            </w:pPr>
            <w:r w:rsidRPr="005B2A08">
              <w:rPr>
                <w:rFonts w:ascii="Inter" w:hAnsi="Inter" w:cs="Arial"/>
                <w:sz w:val="20"/>
                <w:lang w:val="da-DK" w:eastAsia="sv-SE"/>
              </w:rPr>
              <w:t> </w:t>
            </w:r>
            <w:r w:rsidRPr="005B2A08">
              <w:rPr>
                <w:rFonts w:ascii="Inter" w:hAnsi="Inter"/>
                <w:sz w:val="20"/>
                <w:lang w:val="sv-SE" w:eastAsia="sv-SE"/>
              </w:rPr>
              <w:t> </w:t>
            </w:r>
          </w:p>
        </w:tc>
      </w:tr>
      <w:tr w:rsidR="00405E2B" w:rsidRPr="005B2A08" w14:paraId="7B5DDFF9" w14:textId="77777777" w:rsidTr="00892316">
        <w:trPr>
          <w:trHeight w:val="300"/>
        </w:trPr>
        <w:tc>
          <w:tcPr>
            <w:tcW w:w="3513" w:type="dxa"/>
            <w:tcBorders>
              <w:top w:val="single" w:sz="6" w:space="0" w:color="auto"/>
              <w:left w:val="nil"/>
              <w:bottom w:val="single" w:sz="6" w:space="0" w:color="auto"/>
              <w:right w:val="nil"/>
            </w:tcBorders>
            <w:vAlign w:val="bottom"/>
            <w:hideMark/>
          </w:tcPr>
          <w:p w14:paraId="1CACD4E1" w14:textId="77777777" w:rsidR="00405E2B" w:rsidRPr="005B2A08" w:rsidRDefault="00405E2B" w:rsidP="00405E2B">
            <w:pPr>
              <w:spacing w:line="240" w:lineRule="auto"/>
              <w:textAlignment w:val="baseline"/>
              <w:rPr>
                <w:rFonts w:ascii="Inter" w:hAnsi="Inter"/>
                <w:sz w:val="20"/>
                <w:lang w:val="sv-SE" w:eastAsia="sv-SE"/>
              </w:rPr>
            </w:pPr>
            <w:r w:rsidRPr="005B2A08">
              <w:rPr>
                <w:rFonts w:ascii="Inter" w:hAnsi="Inter"/>
                <w:sz w:val="20"/>
                <w:lang w:val="sv-SE" w:eastAsia="sv-SE"/>
              </w:rPr>
              <w:t> </w:t>
            </w:r>
          </w:p>
        </w:tc>
        <w:tc>
          <w:tcPr>
            <w:tcW w:w="1866" w:type="dxa"/>
            <w:tcBorders>
              <w:top w:val="single" w:sz="6" w:space="0" w:color="auto"/>
              <w:left w:val="nil"/>
              <w:bottom w:val="single" w:sz="6" w:space="0" w:color="auto"/>
              <w:right w:val="nil"/>
            </w:tcBorders>
            <w:vAlign w:val="bottom"/>
            <w:hideMark/>
          </w:tcPr>
          <w:p w14:paraId="2D6F8A1E" w14:textId="77777777" w:rsidR="00405E2B" w:rsidRPr="005B2A08" w:rsidRDefault="00405E2B" w:rsidP="00405E2B">
            <w:pPr>
              <w:spacing w:line="240" w:lineRule="auto"/>
              <w:textAlignment w:val="baseline"/>
              <w:rPr>
                <w:rFonts w:ascii="Inter" w:hAnsi="Inter"/>
                <w:sz w:val="20"/>
                <w:lang w:val="sv-SE" w:eastAsia="sv-SE"/>
              </w:rPr>
            </w:pPr>
            <w:r w:rsidRPr="005B2A08">
              <w:rPr>
                <w:rFonts w:ascii="Inter" w:hAnsi="Inter"/>
                <w:sz w:val="20"/>
                <w:lang w:val="sv-SE" w:eastAsia="sv-SE"/>
              </w:rPr>
              <w:t> </w:t>
            </w:r>
          </w:p>
        </w:tc>
        <w:tc>
          <w:tcPr>
            <w:tcW w:w="3538" w:type="dxa"/>
            <w:tcBorders>
              <w:top w:val="single" w:sz="6" w:space="0" w:color="auto"/>
              <w:left w:val="nil"/>
              <w:bottom w:val="single" w:sz="6" w:space="0" w:color="auto"/>
              <w:right w:val="nil"/>
            </w:tcBorders>
            <w:vAlign w:val="bottom"/>
            <w:hideMark/>
          </w:tcPr>
          <w:p w14:paraId="2B12629D" w14:textId="77777777" w:rsidR="00405E2B" w:rsidRPr="005B2A08" w:rsidRDefault="00405E2B" w:rsidP="00405E2B">
            <w:pPr>
              <w:spacing w:line="240" w:lineRule="auto"/>
              <w:textAlignment w:val="baseline"/>
              <w:rPr>
                <w:rFonts w:ascii="Inter" w:hAnsi="Inter"/>
                <w:sz w:val="20"/>
                <w:lang w:val="sv-SE" w:eastAsia="sv-SE"/>
              </w:rPr>
            </w:pPr>
            <w:r w:rsidRPr="005B2A08">
              <w:rPr>
                <w:rFonts w:ascii="Inter" w:hAnsi="Inter"/>
                <w:sz w:val="20"/>
                <w:lang w:val="sv-SE" w:eastAsia="sv-SE"/>
              </w:rPr>
              <w:t> </w:t>
            </w:r>
          </w:p>
        </w:tc>
      </w:tr>
      <w:tr w:rsidR="00405E2B" w:rsidRPr="005B2A08" w14:paraId="16B6A426" w14:textId="77777777" w:rsidTr="003F0491">
        <w:trPr>
          <w:trHeight w:val="300"/>
        </w:trPr>
        <w:tc>
          <w:tcPr>
            <w:tcW w:w="3513" w:type="dxa"/>
            <w:tcBorders>
              <w:top w:val="single" w:sz="6" w:space="0" w:color="auto"/>
              <w:left w:val="single" w:sz="6" w:space="0" w:color="auto"/>
              <w:bottom w:val="single" w:sz="4" w:space="0" w:color="auto"/>
              <w:right w:val="single" w:sz="6" w:space="0" w:color="auto"/>
            </w:tcBorders>
            <w:shd w:val="clear" w:color="auto" w:fill="3B3838" w:themeFill="background2" w:themeFillShade="40"/>
            <w:hideMark/>
          </w:tcPr>
          <w:p w14:paraId="5B664379" w14:textId="031275AE" w:rsidR="00405E2B" w:rsidRPr="005B2A08" w:rsidRDefault="00405E2B" w:rsidP="00405E2B">
            <w:pPr>
              <w:spacing w:line="240" w:lineRule="auto"/>
              <w:textAlignment w:val="baseline"/>
              <w:rPr>
                <w:rFonts w:ascii="Inter" w:hAnsi="Inter"/>
                <w:sz w:val="20"/>
                <w:lang w:val="sv-SE" w:eastAsia="sv-SE"/>
              </w:rPr>
            </w:pPr>
            <w:r w:rsidRPr="005B2A08">
              <w:rPr>
                <w:rFonts w:ascii="Inter" w:hAnsi="Inter"/>
                <w:b/>
                <w:bCs/>
                <w:sz w:val="20"/>
                <w:lang w:val="da-DK" w:eastAsia="sv-SE"/>
              </w:rPr>
              <w:t>4.2 (c)-(f)</w:t>
            </w:r>
          </w:p>
        </w:tc>
        <w:tc>
          <w:tcPr>
            <w:tcW w:w="1866" w:type="dxa"/>
            <w:tcBorders>
              <w:top w:val="single" w:sz="6" w:space="0" w:color="auto"/>
              <w:left w:val="nil"/>
              <w:bottom w:val="single" w:sz="4" w:space="0" w:color="auto"/>
              <w:right w:val="single" w:sz="6" w:space="0" w:color="auto"/>
            </w:tcBorders>
            <w:shd w:val="clear" w:color="auto" w:fill="3B3838" w:themeFill="background2" w:themeFillShade="40"/>
            <w:hideMark/>
          </w:tcPr>
          <w:p w14:paraId="7D376813" w14:textId="77777777" w:rsidR="00405E2B" w:rsidRPr="005B2A08" w:rsidRDefault="00405E2B" w:rsidP="00405E2B">
            <w:pPr>
              <w:spacing w:line="240" w:lineRule="auto"/>
              <w:textAlignment w:val="baseline"/>
              <w:rPr>
                <w:rFonts w:ascii="Inter" w:hAnsi="Inter"/>
                <w:sz w:val="20"/>
                <w:lang w:eastAsia="sv-SE"/>
              </w:rPr>
            </w:pPr>
            <w:r w:rsidRPr="005B2A08">
              <w:rPr>
                <w:rFonts w:ascii="Inter" w:hAnsi="Inter"/>
                <w:b/>
                <w:bCs/>
                <w:sz w:val="20"/>
                <w:lang w:eastAsia="sv-SE"/>
              </w:rPr>
              <w:t>Link to document satisfying the rule</w:t>
            </w:r>
            <w:r w:rsidRPr="005B2A08">
              <w:rPr>
                <w:rFonts w:ascii="Inter" w:hAnsi="Inter"/>
                <w:sz w:val="20"/>
                <w:lang w:eastAsia="sv-SE"/>
              </w:rPr>
              <w:t> </w:t>
            </w:r>
          </w:p>
        </w:tc>
        <w:tc>
          <w:tcPr>
            <w:tcW w:w="3538" w:type="dxa"/>
            <w:tcBorders>
              <w:top w:val="single" w:sz="6" w:space="0" w:color="auto"/>
              <w:left w:val="nil"/>
              <w:bottom w:val="single" w:sz="4" w:space="0" w:color="auto"/>
              <w:right w:val="single" w:sz="6" w:space="0" w:color="auto"/>
            </w:tcBorders>
            <w:shd w:val="clear" w:color="auto" w:fill="3B3838" w:themeFill="background2" w:themeFillShade="40"/>
            <w:hideMark/>
          </w:tcPr>
          <w:p w14:paraId="51A0890D" w14:textId="77777777" w:rsidR="00405E2B" w:rsidRPr="005B2A08" w:rsidRDefault="00405E2B" w:rsidP="00405E2B">
            <w:pPr>
              <w:spacing w:line="240" w:lineRule="auto"/>
              <w:textAlignment w:val="baseline"/>
              <w:rPr>
                <w:rFonts w:ascii="Inter" w:hAnsi="Inter"/>
                <w:sz w:val="20"/>
                <w:lang w:val="sv-SE" w:eastAsia="sv-SE"/>
              </w:rPr>
            </w:pPr>
            <w:r w:rsidRPr="005B2A08">
              <w:rPr>
                <w:rFonts w:ascii="Inter" w:hAnsi="Inter"/>
                <w:b/>
                <w:bCs/>
                <w:sz w:val="20"/>
                <w:lang w:val="da-DK" w:eastAsia="sv-SE"/>
              </w:rPr>
              <w:t>Reference in document</w:t>
            </w:r>
            <w:r w:rsidRPr="005B2A08">
              <w:rPr>
                <w:rFonts w:ascii="Inter" w:hAnsi="Inter"/>
                <w:sz w:val="20"/>
                <w:lang w:val="sv-SE" w:eastAsia="sv-SE"/>
              </w:rPr>
              <w:t> </w:t>
            </w:r>
          </w:p>
        </w:tc>
      </w:tr>
      <w:tr w:rsidR="00405E2B" w:rsidRPr="005B2A08" w14:paraId="05C598A5" w14:textId="77777777" w:rsidTr="00892316">
        <w:trPr>
          <w:trHeight w:val="300"/>
        </w:trPr>
        <w:tc>
          <w:tcPr>
            <w:tcW w:w="3513" w:type="dxa"/>
            <w:tcBorders>
              <w:top w:val="single" w:sz="4" w:space="0" w:color="auto"/>
              <w:left w:val="single" w:sz="4" w:space="0" w:color="auto"/>
              <w:bottom w:val="single" w:sz="4" w:space="0" w:color="auto"/>
              <w:right w:val="single" w:sz="4" w:space="0" w:color="auto"/>
            </w:tcBorders>
            <w:vAlign w:val="bottom"/>
            <w:hideMark/>
          </w:tcPr>
          <w:p w14:paraId="77C3F2E9" w14:textId="16F9795D" w:rsidR="00405E2B" w:rsidRPr="005B2A08" w:rsidRDefault="00405E2B" w:rsidP="00405E2B">
            <w:pPr>
              <w:spacing w:line="240" w:lineRule="auto"/>
              <w:textAlignment w:val="baseline"/>
              <w:rPr>
                <w:rFonts w:ascii="Inter" w:hAnsi="Inter"/>
                <w:sz w:val="20"/>
                <w:lang w:eastAsia="sv-SE"/>
              </w:rPr>
            </w:pPr>
            <w:r w:rsidRPr="005B2A08">
              <w:rPr>
                <w:rFonts w:ascii="Inter" w:hAnsi="Inter"/>
                <w:sz w:val="20"/>
                <w:lang w:val="da-DK" w:eastAsia="sv-SE"/>
              </w:rPr>
              <w:t xml:space="preserve">(c) </w:t>
            </w:r>
            <w:r w:rsidRPr="005B2A08">
              <w:rPr>
                <w:rFonts w:ascii="Inter" w:hAnsi="Inter"/>
                <w:sz w:val="20"/>
                <w:lang w:eastAsia="sv-SE"/>
              </w:rPr>
              <w:t>The Issuer must, in the Listing Document or the final terms, clearly stipulate whether or not it undertakes to repay the nominal amount on the reimbursement date. If there is a fixed interest rate to be repaid on the reimbursement date, this must be clearly stipulated.</w:t>
            </w:r>
          </w:p>
        </w:tc>
        <w:tc>
          <w:tcPr>
            <w:tcW w:w="1866" w:type="dxa"/>
            <w:tcBorders>
              <w:top w:val="single" w:sz="4" w:space="0" w:color="auto"/>
              <w:left w:val="single" w:sz="4" w:space="0" w:color="auto"/>
              <w:bottom w:val="single" w:sz="4" w:space="0" w:color="auto"/>
              <w:right w:val="single" w:sz="4" w:space="0" w:color="auto"/>
            </w:tcBorders>
            <w:vAlign w:val="bottom"/>
            <w:hideMark/>
          </w:tcPr>
          <w:p w14:paraId="334ABBD2" w14:textId="77777777" w:rsidR="00405E2B" w:rsidRPr="005B2A08" w:rsidRDefault="00405E2B" w:rsidP="00405E2B">
            <w:pPr>
              <w:spacing w:line="240" w:lineRule="auto"/>
              <w:textAlignment w:val="baseline"/>
              <w:rPr>
                <w:rFonts w:ascii="Inter" w:hAnsi="Inter"/>
                <w:sz w:val="20"/>
                <w:lang w:val="sv-SE" w:eastAsia="sv-SE"/>
              </w:rPr>
            </w:pPr>
            <w:r w:rsidRPr="005B2A08">
              <w:rPr>
                <w:rFonts w:ascii="Inter" w:hAnsi="Inter" w:cs="Arial"/>
                <w:sz w:val="20"/>
                <w:lang w:val="da-DK" w:eastAsia="sv-SE"/>
              </w:rPr>
              <w:t> </w:t>
            </w:r>
            <w:r w:rsidRPr="005B2A08">
              <w:rPr>
                <w:rFonts w:ascii="Inter" w:hAnsi="Inter"/>
                <w:sz w:val="20"/>
                <w:lang w:val="sv-SE" w:eastAsia="sv-SE"/>
              </w:rPr>
              <w:t> </w:t>
            </w:r>
          </w:p>
        </w:tc>
        <w:tc>
          <w:tcPr>
            <w:tcW w:w="3538" w:type="dxa"/>
            <w:tcBorders>
              <w:top w:val="single" w:sz="4" w:space="0" w:color="auto"/>
              <w:left w:val="single" w:sz="4" w:space="0" w:color="auto"/>
              <w:bottom w:val="single" w:sz="4" w:space="0" w:color="auto"/>
              <w:right w:val="single" w:sz="4" w:space="0" w:color="auto"/>
            </w:tcBorders>
            <w:vAlign w:val="bottom"/>
            <w:hideMark/>
          </w:tcPr>
          <w:p w14:paraId="551445C6" w14:textId="77777777" w:rsidR="00405E2B" w:rsidRPr="005B2A08" w:rsidRDefault="00405E2B" w:rsidP="00405E2B">
            <w:pPr>
              <w:spacing w:line="240" w:lineRule="auto"/>
              <w:textAlignment w:val="baseline"/>
              <w:rPr>
                <w:rFonts w:ascii="Inter" w:hAnsi="Inter"/>
                <w:sz w:val="20"/>
                <w:lang w:val="sv-SE" w:eastAsia="sv-SE"/>
              </w:rPr>
            </w:pPr>
            <w:r w:rsidRPr="005B2A08">
              <w:rPr>
                <w:rFonts w:ascii="Inter" w:hAnsi="Inter" w:cs="Arial"/>
                <w:sz w:val="20"/>
                <w:lang w:val="da-DK" w:eastAsia="sv-SE"/>
              </w:rPr>
              <w:t> </w:t>
            </w:r>
            <w:r w:rsidRPr="005B2A08">
              <w:rPr>
                <w:rFonts w:ascii="Inter" w:hAnsi="Inter"/>
                <w:sz w:val="20"/>
                <w:lang w:val="sv-SE" w:eastAsia="sv-SE"/>
              </w:rPr>
              <w:t> </w:t>
            </w:r>
          </w:p>
        </w:tc>
      </w:tr>
      <w:tr w:rsidR="00405E2B" w:rsidRPr="005B2A08" w14:paraId="2F22B0C2" w14:textId="77777777" w:rsidTr="00892316">
        <w:trPr>
          <w:trHeight w:val="300"/>
        </w:trPr>
        <w:tc>
          <w:tcPr>
            <w:tcW w:w="3513" w:type="dxa"/>
            <w:tcBorders>
              <w:top w:val="single" w:sz="4" w:space="0" w:color="auto"/>
              <w:left w:val="single" w:sz="4" w:space="0" w:color="auto"/>
              <w:bottom w:val="single" w:sz="4" w:space="0" w:color="auto"/>
              <w:right w:val="single" w:sz="4" w:space="0" w:color="auto"/>
            </w:tcBorders>
            <w:vAlign w:val="bottom"/>
            <w:hideMark/>
          </w:tcPr>
          <w:p w14:paraId="087DB202" w14:textId="56BD82A0" w:rsidR="00405E2B" w:rsidRPr="005B2A08" w:rsidRDefault="00405E2B" w:rsidP="00405E2B">
            <w:pPr>
              <w:spacing w:line="240" w:lineRule="auto"/>
              <w:textAlignment w:val="baseline"/>
              <w:rPr>
                <w:rFonts w:ascii="Inter" w:hAnsi="Inter"/>
                <w:sz w:val="20"/>
                <w:lang w:val="da-DK" w:eastAsia="sv-SE"/>
              </w:rPr>
            </w:pPr>
            <w:r w:rsidRPr="005B2A08">
              <w:rPr>
                <w:rFonts w:ascii="Inter" w:hAnsi="Inter"/>
                <w:sz w:val="20"/>
                <w:lang w:val="da-DK" w:eastAsia="sv-SE"/>
              </w:rPr>
              <w:t xml:space="preserve">(d) </w:t>
            </w:r>
            <w:r w:rsidRPr="005B2A08">
              <w:rPr>
                <w:rFonts w:ascii="Inter" w:hAnsi="Inter"/>
                <w:sz w:val="20"/>
                <w:lang w:eastAsia="sv-SE"/>
              </w:rPr>
              <w:t>The Listing Document or the final terms describing the Instrument must contain an adequate description of how any return is to be calculated.</w:t>
            </w:r>
          </w:p>
        </w:tc>
        <w:tc>
          <w:tcPr>
            <w:tcW w:w="1866" w:type="dxa"/>
            <w:tcBorders>
              <w:top w:val="single" w:sz="4" w:space="0" w:color="auto"/>
              <w:left w:val="single" w:sz="4" w:space="0" w:color="auto"/>
              <w:bottom w:val="single" w:sz="4" w:space="0" w:color="auto"/>
              <w:right w:val="single" w:sz="4" w:space="0" w:color="auto"/>
            </w:tcBorders>
            <w:vAlign w:val="bottom"/>
            <w:hideMark/>
          </w:tcPr>
          <w:p w14:paraId="5922B5D1" w14:textId="77777777" w:rsidR="00405E2B" w:rsidRPr="005B2A08" w:rsidRDefault="00405E2B" w:rsidP="00405E2B">
            <w:pPr>
              <w:spacing w:line="240" w:lineRule="auto"/>
              <w:textAlignment w:val="baseline"/>
              <w:rPr>
                <w:rFonts w:ascii="Inter" w:hAnsi="Inter"/>
                <w:sz w:val="20"/>
                <w:lang w:val="sv-SE" w:eastAsia="sv-SE"/>
              </w:rPr>
            </w:pPr>
            <w:r w:rsidRPr="005B2A08">
              <w:rPr>
                <w:rFonts w:ascii="Inter" w:hAnsi="Inter" w:cs="Arial"/>
                <w:sz w:val="20"/>
                <w:lang w:val="da-DK" w:eastAsia="sv-SE"/>
              </w:rPr>
              <w:t> </w:t>
            </w:r>
            <w:r w:rsidRPr="005B2A08">
              <w:rPr>
                <w:rFonts w:ascii="Inter" w:hAnsi="Inter"/>
                <w:sz w:val="20"/>
                <w:lang w:val="sv-SE" w:eastAsia="sv-SE"/>
              </w:rPr>
              <w:t> </w:t>
            </w:r>
          </w:p>
        </w:tc>
        <w:tc>
          <w:tcPr>
            <w:tcW w:w="3538" w:type="dxa"/>
            <w:tcBorders>
              <w:top w:val="single" w:sz="4" w:space="0" w:color="auto"/>
              <w:left w:val="single" w:sz="4" w:space="0" w:color="auto"/>
              <w:bottom w:val="single" w:sz="4" w:space="0" w:color="auto"/>
              <w:right w:val="single" w:sz="4" w:space="0" w:color="auto"/>
            </w:tcBorders>
            <w:vAlign w:val="bottom"/>
            <w:hideMark/>
          </w:tcPr>
          <w:p w14:paraId="23A5EA85" w14:textId="77777777" w:rsidR="00405E2B" w:rsidRPr="005B2A08" w:rsidRDefault="00405E2B" w:rsidP="00405E2B">
            <w:pPr>
              <w:spacing w:line="240" w:lineRule="auto"/>
              <w:textAlignment w:val="baseline"/>
              <w:rPr>
                <w:rFonts w:ascii="Inter" w:hAnsi="Inter"/>
                <w:sz w:val="20"/>
                <w:lang w:val="sv-SE" w:eastAsia="sv-SE"/>
              </w:rPr>
            </w:pPr>
            <w:r w:rsidRPr="005B2A08">
              <w:rPr>
                <w:rFonts w:ascii="Inter" w:hAnsi="Inter" w:cs="Arial"/>
                <w:sz w:val="20"/>
                <w:lang w:val="da-DK" w:eastAsia="sv-SE"/>
              </w:rPr>
              <w:t> </w:t>
            </w:r>
            <w:r w:rsidRPr="005B2A08">
              <w:rPr>
                <w:rFonts w:ascii="Inter" w:hAnsi="Inter"/>
                <w:sz w:val="20"/>
                <w:lang w:val="sv-SE" w:eastAsia="sv-SE"/>
              </w:rPr>
              <w:t> </w:t>
            </w:r>
          </w:p>
        </w:tc>
      </w:tr>
      <w:tr w:rsidR="00405E2B" w:rsidRPr="005B2A08" w14:paraId="6D143F43" w14:textId="77777777" w:rsidTr="00892316">
        <w:trPr>
          <w:trHeight w:val="300"/>
        </w:trPr>
        <w:tc>
          <w:tcPr>
            <w:tcW w:w="3513" w:type="dxa"/>
            <w:tcBorders>
              <w:top w:val="single" w:sz="4" w:space="0" w:color="auto"/>
              <w:left w:val="single" w:sz="4" w:space="0" w:color="auto"/>
              <w:bottom w:val="single" w:sz="4" w:space="0" w:color="auto"/>
              <w:right w:val="single" w:sz="4" w:space="0" w:color="auto"/>
            </w:tcBorders>
            <w:vAlign w:val="bottom"/>
            <w:hideMark/>
          </w:tcPr>
          <w:p w14:paraId="60E3BE0B" w14:textId="1BC4F581" w:rsidR="00405E2B" w:rsidRPr="005B2A08" w:rsidRDefault="00405E2B" w:rsidP="00405E2B">
            <w:pPr>
              <w:spacing w:line="240" w:lineRule="auto"/>
              <w:textAlignment w:val="baseline"/>
              <w:rPr>
                <w:rFonts w:ascii="Inter" w:hAnsi="Inter"/>
                <w:sz w:val="20"/>
                <w:lang w:val="da-DK" w:eastAsia="sv-SE"/>
              </w:rPr>
            </w:pPr>
            <w:r w:rsidRPr="005B2A08">
              <w:rPr>
                <w:rFonts w:ascii="Inter" w:hAnsi="Inter"/>
                <w:sz w:val="20"/>
                <w:lang w:val="da-DK" w:eastAsia="sv-SE"/>
              </w:rPr>
              <w:t xml:space="preserve">(e) </w:t>
            </w:r>
            <w:r w:rsidRPr="005B2A08">
              <w:rPr>
                <w:rFonts w:ascii="Inter" w:hAnsi="Inter"/>
                <w:sz w:val="20"/>
                <w:lang w:eastAsia="sv-SE"/>
              </w:rPr>
              <w:t>The Listing Document should specify that the Issuer is seeking admission to trading on Nasdaq First North Denmark or Nasdaq First North Sweden. It should also be stated that the relevant segment is an MTF.</w:t>
            </w:r>
          </w:p>
        </w:tc>
        <w:tc>
          <w:tcPr>
            <w:tcW w:w="1866" w:type="dxa"/>
            <w:tcBorders>
              <w:top w:val="single" w:sz="4" w:space="0" w:color="auto"/>
              <w:left w:val="single" w:sz="4" w:space="0" w:color="auto"/>
              <w:bottom w:val="single" w:sz="4" w:space="0" w:color="auto"/>
              <w:right w:val="single" w:sz="4" w:space="0" w:color="auto"/>
            </w:tcBorders>
            <w:vAlign w:val="bottom"/>
            <w:hideMark/>
          </w:tcPr>
          <w:p w14:paraId="1BFE9559" w14:textId="77777777" w:rsidR="00405E2B" w:rsidRPr="005B2A08" w:rsidRDefault="00405E2B" w:rsidP="00405E2B">
            <w:pPr>
              <w:spacing w:line="240" w:lineRule="auto"/>
              <w:textAlignment w:val="baseline"/>
              <w:rPr>
                <w:rFonts w:ascii="Inter" w:hAnsi="Inter"/>
                <w:sz w:val="20"/>
                <w:lang w:val="sv-SE" w:eastAsia="sv-SE"/>
              </w:rPr>
            </w:pPr>
            <w:r w:rsidRPr="005B2A08">
              <w:rPr>
                <w:rFonts w:ascii="Inter" w:hAnsi="Inter" w:cs="Arial"/>
                <w:sz w:val="20"/>
                <w:lang w:val="da-DK" w:eastAsia="sv-SE"/>
              </w:rPr>
              <w:t> </w:t>
            </w:r>
            <w:r w:rsidRPr="005B2A08">
              <w:rPr>
                <w:rFonts w:ascii="Inter" w:hAnsi="Inter"/>
                <w:sz w:val="20"/>
                <w:lang w:val="sv-SE" w:eastAsia="sv-SE"/>
              </w:rPr>
              <w:t> </w:t>
            </w:r>
          </w:p>
        </w:tc>
        <w:tc>
          <w:tcPr>
            <w:tcW w:w="3538" w:type="dxa"/>
            <w:tcBorders>
              <w:top w:val="single" w:sz="4" w:space="0" w:color="auto"/>
              <w:left w:val="single" w:sz="4" w:space="0" w:color="auto"/>
              <w:bottom w:val="single" w:sz="4" w:space="0" w:color="auto"/>
              <w:right w:val="single" w:sz="4" w:space="0" w:color="auto"/>
            </w:tcBorders>
            <w:vAlign w:val="bottom"/>
            <w:hideMark/>
          </w:tcPr>
          <w:p w14:paraId="10B439A6" w14:textId="77777777" w:rsidR="00405E2B" w:rsidRPr="005B2A08" w:rsidRDefault="00405E2B" w:rsidP="00405E2B">
            <w:pPr>
              <w:spacing w:line="240" w:lineRule="auto"/>
              <w:textAlignment w:val="baseline"/>
              <w:rPr>
                <w:rFonts w:ascii="Inter" w:hAnsi="Inter"/>
                <w:sz w:val="20"/>
                <w:lang w:val="sv-SE" w:eastAsia="sv-SE"/>
              </w:rPr>
            </w:pPr>
            <w:r w:rsidRPr="005B2A08">
              <w:rPr>
                <w:rFonts w:ascii="Inter" w:hAnsi="Inter" w:cs="Arial"/>
                <w:sz w:val="20"/>
                <w:lang w:val="da-DK" w:eastAsia="sv-SE"/>
              </w:rPr>
              <w:t> </w:t>
            </w:r>
            <w:r w:rsidRPr="005B2A08">
              <w:rPr>
                <w:rFonts w:ascii="Inter" w:hAnsi="Inter"/>
                <w:sz w:val="20"/>
                <w:lang w:val="sv-SE" w:eastAsia="sv-SE"/>
              </w:rPr>
              <w:t> </w:t>
            </w:r>
          </w:p>
        </w:tc>
      </w:tr>
      <w:tr w:rsidR="00405E2B" w:rsidRPr="005B2A08" w14:paraId="443F1190" w14:textId="77777777" w:rsidTr="00892316">
        <w:trPr>
          <w:trHeight w:val="300"/>
        </w:trPr>
        <w:tc>
          <w:tcPr>
            <w:tcW w:w="3513" w:type="dxa"/>
            <w:tcBorders>
              <w:top w:val="single" w:sz="4" w:space="0" w:color="auto"/>
              <w:left w:val="single" w:sz="4" w:space="0" w:color="auto"/>
              <w:bottom w:val="single" w:sz="4" w:space="0" w:color="auto"/>
              <w:right w:val="single" w:sz="4" w:space="0" w:color="auto"/>
            </w:tcBorders>
            <w:vAlign w:val="bottom"/>
          </w:tcPr>
          <w:p w14:paraId="38504C36" w14:textId="77777777" w:rsidR="00405E2B" w:rsidRPr="005B2A08" w:rsidRDefault="00405E2B" w:rsidP="00405E2B">
            <w:pPr>
              <w:spacing w:line="240" w:lineRule="auto"/>
              <w:textAlignment w:val="baseline"/>
              <w:rPr>
                <w:rFonts w:ascii="Inter" w:hAnsi="Inter"/>
                <w:sz w:val="20"/>
                <w:lang w:eastAsia="sv-SE"/>
              </w:rPr>
            </w:pPr>
            <w:r w:rsidRPr="005B2A08">
              <w:rPr>
                <w:rFonts w:ascii="Inter" w:hAnsi="Inter"/>
                <w:sz w:val="20"/>
                <w:lang w:val="da-DK" w:eastAsia="sv-SE"/>
              </w:rPr>
              <w:t>(f)</w:t>
            </w:r>
            <w:r w:rsidRPr="005B2A08">
              <w:rPr>
                <w:rFonts w:ascii="Inter" w:hAnsi="Inter"/>
                <w:sz w:val="20"/>
              </w:rPr>
              <w:t xml:space="preserve"> </w:t>
            </w:r>
            <w:r w:rsidRPr="005B2A08">
              <w:rPr>
                <w:rFonts w:ascii="Inter" w:hAnsi="Inter"/>
                <w:sz w:val="20"/>
                <w:lang w:eastAsia="sv-SE"/>
              </w:rPr>
              <w:t>Issuers, whose securities are already admitted to trading on a regulated market or Nasdaq First North, are exempted from the requirements in Section 4.2(a)(i) to (xi) if they are seeking admission to trading of Instruments which are:</w:t>
            </w:r>
          </w:p>
          <w:p w14:paraId="06EF04B6" w14:textId="77777777" w:rsidR="00405E2B" w:rsidRPr="005B2A08" w:rsidRDefault="00405E2B" w:rsidP="00405E2B">
            <w:pPr>
              <w:pStyle w:val="ListParagraph"/>
              <w:numPr>
                <w:ilvl w:val="0"/>
                <w:numId w:val="1"/>
              </w:numPr>
              <w:spacing w:line="240" w:lineRule="auto"/>
              <w:textAlignment w:val="baseline"/>
              <w:rPr>
                <w:rFonts w:ascii="Inter" w:hAnsi="Inter"/>
                <w:sz w:val="20"/>
                <w:lang w:eastAsia="sv-SE"/>
              </w:rPr>
            </w:pPr>
            <w:r w:rsidRPr="005B2A08">
              <w:rPr>
                <w:rFonts w:ascii="Inter" w:hAnsi="Inter"/>
                <w:sz w:val="20"/>
                <w:lang w:eastAsia="sv-SE"/>
              </w:rPr>
              <w:t>only offered to investors who each must invest a minimum of EUR 100,000, or the equivalent amount in another currency, in the initial offering; or</w:t>
            </w:r>
          </w:p>
          <w:p w14:paraId="668A643E" w14:textId="40360EB1" w:rsidR="00405E2B" w:rsidRPr="005B2A08" w:rsidRDefault="00405E2B" w:rsidP="00405E2B">
            <w:pPr>
              <w:pStyle w:val="ListParagraph"/>
              <w:numPr>
                <w:ilvl w:val="0"/>
                <w:numId w:val="1"/>
              </w:numPr>
              <w:spacing w:line="240" w:lineRule="auto"/>
              <w:textAlignment w:val="baseline"/>
              <w:rPr>
                <w:rFonts w:ascii="Inter" w:hAnsi="Inter"/>
                <w:sz w:val="20"/>
                <w:lang w:val="da-DK" w:eastAsia="sv-SE"/>
              </w:rPr>
            </w:pPr>
            <w:r w:rsidRPr="005B2A08">
              <w:rPr>
                <w:rFonts w:ascii="Inter" w:hAnsi="Inter"/>
                <w:sz w:val="20"/>
                <w:lang w:eastAsia="sv-SE"/>
              </w:rPr>
              <w:t xml:space="preserve">denominated in units larger than or equal to EUR 100,000, or the equivalent amount in another currency. </w:t>
            </w:r>
          </w:p>
        </w:tc>
        <w:tc>
          <w:tcPr>
            <w:tcW w:w="1866" w:type="dxa"/>
            <w:tcBorders>
              <w:top w:val="single" w:sz="4" w:space="0" w:color="auto"/>
              <w:left w:val="single" w:sz="4" w:space="0" w:color="auto"/>
              <w:bottom w:val="single" w:sz="4" w:space="0" w:color="auto"/>
              <w:right w:val="single" w:sz="4" w:space="0" w:color="auto"/>
            </w:tcBorders>
            <w:vAlign w:val="bottom"/>
          </w:tcPr>
          <w:p w14:paraId="663494AF" w14:textId="77777777" w:rsidR="00405E2B" w:rsidRPr="005B2A08" w:rsidRDefault="00405E2B" w:rsidP="00405E2B">
            <w:pPr>
              <w:spacing w:line="240" w:lineRule="auto"/>
              <w:textAlignment w:val="baseline"/>
              <w:rPr>
                <w:rFonts w:ascii="Inter" w:hAnsi="Inter"/>
                <w:sz w:val="20"/>
                <w:lang w:val="da-DK" w:eastAsia="sv-SE"/>
              </w:rPr>
            </w:pPr>
          </w:p>
        </w:tc>
        <w:tc>
          <w:tcPr>
            <w:tcW w:w="3538" w:type="dxa"/>
            <w:tcBorders>
              <w:top w:val="single" w:sz="4" w:space="0" w:color="auto"/>
              <w:left w:val="single" w:sz="4" w:space="0" w:color="auto"/>
              <w:bottom w:val="single" w:sz="4" w:space="0" w:color="auto"/>
              <w:right w:val="single" w:sz="4" w:space="0" w:color="auto"/>
            </w:tcBorders>
            <w:vAlign w:val="bottom"/>
          </w:tcPr>
          <w:p w14:paraId="0A38E893" w14:textId="77777777" w:rsidR="00405E2B" w:rsidRPr="005B2A08" w:rsidRDefault="00405E2B" w:rsidP="00405E2B">
            <w:pPr>
              <w:spacing w:line="240" w:lineRule="auto"/>
              <w:textAlignment w:val="baseline"/>
              <w:rPr>
                <w:rFonts w:ascii="Inter" w:hAnsi="Inter"/>
                <w:sz w:val="20"/>
                <w:lang w:val="da-DK" w:eastAsia="sv-SE"/>
              </w:rPr>
            </w:pPr>
          </w:p>
        </w:tc>
      </w:tr>
    </w:tbl>
    <w:p w14:paraId="2FC375B4" w14:textId="6BE3BA2D" w:rsidR="00D25266" w:rsidRPr="005B2A08" w:rsidRDefault="00D25266" w:rsidP="00B46B2D">
      <w:pPr>
        <w:rPr>
          <w:rFonts w:ascii="Inter" w:hAnsi="Inter"/>
          <w:sz w:val="20"/>
        </w:rPr>
      </w:pPr>
    </w:p>
    <w:sectPr w:rsidR="00D25266" w:rsidRPr="005B2A08">
      <w:headerReference w:type="default" r:id="rId7"/>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AD1ED" w14:textId="77777777" w:rsidR="00AF1D65" w:rsidRDefault="00AF1D65" w:rsidP="00B46B2D">
      <w:pPr>
        <w:spacing w:line="240" w:lineRule="auto"/>
      </w:pPr>
      <w:r>
        <w:separator/>
      </w:r>
    </w:p>
  </w:endnote>
  <w:endnote w:type="continuationSeparator" w:id="0">
    <w:p w14:paraId="1DB972E1" w14:textId="77777777" w:rsidR="00AF1D65" w:rsidRDefault="00AF1D65" w:rsidP="00B46B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nter">
    <w:panose1 w:val="02000503000000020004"/>
    <w:charset w:val="00"/>
    <w:family w:val="modern"/>
    <w:notTrueType/>
    <w:pitch w:val="variable"/>
    <w:sig w:usb0="E0000AFF" w:usb1="5200A1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70D5" w14:textId="5265567E" w:rsidR="00B46B2D" w:rsidRDefault="00B46B2D">
    <w:pPr>
      <w:pStyle w:val="Footer"/>
    </w:pPr>
    <w:r>
      <w:rPr>
        <w:noProof/>
        <w14:ligatures w14:val="standardContextual"/>
      </w:rPr>
      <mc:AlternateContent>
        <mc:Choice Requires="wps">
          <w:drawing>
            <wp:anchor distT="0" distB="0" distL="0" distR="0" simplePos="0" relativeHeight="251659264" behindDoc="0" locked="0" layoutInCell="1" allowOverlap="1" wp14:anchorId="14B40634" wp14:editId="5A4F1C43">
              <wp:simplePos x="635" y="635"/>
              <wp:positionH relativeFrom="page">
                <wp:align>center</wp:align>
              </wp:positionH>
              <wp:positionV relativeFrom="page">
                <wp:align>bottom</wp:align>
              </wp:positionV>
              <wp:extent cx="5731510" cy="562610"/>
              <wp:effectExtent l="0" t="0" r="2540" b="0"/>
              <wp:wrapNone/>
              <wp:docPr id="821740139" name="Text Box 2" descr="Nasdaq - Internal Use: Distribution limited to Nasdaq personnel and authorized third parties subject to confidentiality obligati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62610"/>
                      </a:xfrm>
                      <a:prstGeom prst="rect">
                        <a:avLst/>
                      </a:prstGeom>
                      <a:noFill/>
                      <a:ln>
                        <a:noFill/>
                      </a:ln>
                    </wps:spPr>
                    <wps:txbx>
                      <w:txbxContent>
                        <w:p w14:paraId="1B2F65BC" w14:textId="045E98DE" w:rsidR="00B46B2D" w:rsidRPr="00B46B2D" w:rsidRDefault="00B46B2D" w:rsidP="00B46B2D">
                          <w:pPr>
                            <w:rPr>
                              <w:rFonts w:ascii="Calibri" w:eastAsia="Calibri" w:hAnsi="Calibri" w:cs="Calibri"/>
                              <w:noProof/>
                              <w:color w:val="000000"/>
                              <w:sz w:val="24"/>
                              <w:szCs w:val="24"/>
                            </w:rPr>
                          </w:pPr>
                          <w:r w:rsidRPr="00B46B2D">
                            <w:rPr>
                              <w:rFonts w:ascii="Calibri" w:eastAsia="Calibri" w:hAnsi="Calibri" w:cs="Calibri"/>
                              <w:noProof/>
                              <w:color w:val="000000"/>
                              <w:sz w:val="24"/>
                              <w:szCs w:val="24"/>
                            </w:rPr>
                            <w:t>Nasdaq - Internal Use: Distribution limited to Nasdaq personnel and authorized third parties subject to confidentiality obligations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B40634" id="_x0000_t202" coordsize="21600,21600" o:spt="202" path="m,l,21600r21600,l21600,xe">
              <v:stroke joinstyle="miter"/>
              <v:path gradientshapeok="t" o:connecttype="rect"/>
            </v:shapetype>
            <v:shape id="Text Box 2" o:spid="_x0000_s1026" type="#_x0000_t202" alt="Nasdaq - Internal Use: Distribution limited to Nasdaq personnel and authorized third parties subject to confidentiality obligations" style="position:absolute;margin-left:0;margin-top:0;width:451.3pt;height:44.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Q4gCgIAABYEAAAOAAAAZHJzL2Uyb0RvYy54bWysU01v2zAMvQ/YfxB0X2xnSLYacYqsRYYB&#10;RVsgHXpWZCk2IImCpMTOfv0o2U62bqdhF/mZpPjx+LS67bUiJ+F8C6aixSynRBgOdWsOFf3+sv3w&#10;mRIfmKmZAiMqehae3q7fv1t1thRzaEDVwhFMYnzZ2Yo2IdgyyzxvhGZ+BlYYdEpwmgX8dYesdqzD&#10;7Fpl8zxfZh242jrgwnu03g9Ouk75pRQ8PEnpRSCqothbSKdL5z6e2XrFyoNjtmn52Ab7hy40aw0W&#10;vaS6Z4GRo2v/SKVb7sCDDDMOOgMpWy7SDDhNkb+ZZtcwK9IsSI63F5r8/0vLH087++xI6L9AjwuM&#10;hHTWlx6NcZ5eOh2/2ClBP1J4vtAm+kA4GhefPhaLAl0cfYvlfIkY02TX29b58FWAJhFU1OFaElvs&#10;9ODDEDqFxGIGtq1SaTXK/GbAnNGSXVuMKPT7fux7D/UZx3EwbNpbvm2x5gPz4Zk5XC22iXINT3hI&#10;BV1FYUSUNOB+/M0e45Fx9FLSoVQqalDLlKhvBjcRVTUBN4F9AsVNvsjRb476DlCABb4FyxNEqwtq&#10;gtKBfkUhb2IhdDHDsVxF9xO8C4Nm8SFwsdmkIBSQZeHB7CyPqSNPkcSX/pU5OzIdcEePMOmIlW8I&#10;H2LjTW83x4C0p21ETgciR6pRfGmf40OJ6v71P0Vdn/P6JwAAAP//AwBQSwMEFAAGAAgAAAAhAMRN&#10;N7HcAAAABAEAAA8AAABkcnMvZG93bnJldi54bWxMj8FqwzAQRO+F/oPYQm+NXIca17UcQiCnlEKS&#10;XnpTpI3t1loZa504f181l/SyMMww87ZcTK4TJxxC60nB8ywBgWS8balW8LlfP+UgAmuyuvOECi4Y&#10;YFHd35W6sP5MWzztuBaxhEKhFTTMfSFlMA06HWa+R4re0Q9Oc5RDLe2gz7HcdTJNkkw63VJcaHSP&#10;qwbNz250Cl62/D5+0H7+NaWX702/MvPjxij1+DAt30AwTnwLwx9+RIcqMh38SDaITkF8hK83eq9J&#10;moE4KMjzDGRVyv/w1S8AAAD//wMAUEsBAi0AFAAGAAgAAAAhALaDOJL+AAAA4QEAABMAAAAAAAAA&#10;AAAAAAAAAAAAAFtDb250ZW50X1R5cGVzXS54bWxQSwECLQAUAAYACAAAACEAOP0h/9YAAACUAQAA&#10;CwAAAAAAAAAAAAAAAAAvAQAAX3JlbHMvLnJlbHNQSwECLQAUAAYACAAAACEA+OUOIAoCAAAWBAAA&#10;DgAAAAAAAAAAAAAAAAAuAgAAZHJzL2Uyb0RvYy54bWxQSwECLQAUAAYACAAAACEAxE03sdwAAAAE&#10;AQAADwAAAAAAAAAAAAAAAABkBAAAZHJzL2Rvd25yZXYueG1sUEsFBgAAAAAEAAQA8wAAAG0FAAAA&#10;AA==&#10;" filled="f" stroked="f">
              <v:textbox style="mso-fit-shape-to-text:t" inset="0,0,0,15pt">
                <w:txbxContent>
                  <w:p w14:paraId="1B2F65BC" w14:textId="045E98DE" w:rsidR="00B46B2D" w:rsidRPr="00B46B2D" w:rsidRDefault="00B46B2D" w:rsidP="00B46B2D">
                    <w:pPr>
                      <w:rPr>
                        <w:rFonts w:ascii="Calibri" w:eastAsia="Calibri" w:hAnsi="Calibri" w:cs="Calibri"/>
                        <w:noProof/>
                        <w:color w:val="000000"/>
                        <w:sz w:val="24"/>
                        <w:szCs w:val="24"/>
                      </w:rPr>
                    </w:pPr>
                    <w:r w:rsidRPr="00B46B2D">
                      <w:rPr>
                        <w:rFonts w:ascii="Calibri" w:eastAsia="Calibri" w:hAnsi="Calibri" w:cs="Calibri"/>
                        <w:noProof/>
                        <w:color w:val="000000"/>
                        <w:sz w:val="24"/>
                        <w:szCs w:val="24"/>
                      </w:rPr>
                      <w:t>Nasdaq - Internal Use: Distribution limited to Nasdaq personnel and authorized third parties subject to confidentiality obligations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FF8D" w14:textId="0DB1D31E" w:rsidR="00B46B2D" w:rsidRDefault="00B46B2D">
    <w:pPr>
      <w:pStyle w:val="Footer"/>
    </w:pPr>
    <w:r>
      <w:rPr>
        <w:noProof/>
        <w14:ligatures w14:val="standardContextual"/>
      </w:rPr>
      <mc:AlternateContent>
        <mc:Choice Requires="wps">
          <w:drawing>
            <wp:anchor distT="0" distB="0" distL="0" distR="0" simplePos="0" relativeHeight="251660288" behindDoc="0" locked="0" layoutInCell="1" allowOverlap="1" wp14:anchorId="79FCD8B2" wp14:editId="0A5DCEA4">
              <wp:simplePos x="914400" y="10083800"/>
              <wp:positionH relativeFrom="page">
                <wp:align>center</wp:align>
              </wp:positionH>
              <wp:positionV relativeFrom="page">
                <wp:align>bottom</wp:align>
              </wp:positionV>
              <wp:extent cx="5731510" cy="562610"/>
              <wp:effectExtent l="0" t="0" r="2540" b="0"/>
              <wp:wrapNone/>
              <wp:docPr id="534002090" name="Text Box 3" descr="Nasdaq - Internal Use: Distribution limited to Nasdaq personnel and authorized third parties subject to confidentiality obligati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62610"/>
                      </a:xfrm>
                      <a:prstGeom prst="rect">
                        <a:avLst/>
                      </a:prstGeom>
                      <a:noFill/>
                      <a:ln>
                        <a:noFill/>
                      </a:ln>
                    </wps:spPr>
                    <wps:txbx>
                      <w:txbxContent>
                        <w:p w14:paraId="4E648898" w14:textId="5201583A" w:rsidR="00B46B2D" w:rsidRPr="00B46B2D" w:rsidRDefault="00B46B2D" w:rsidP="00B46B2D">
                          <w:pPr>
                            <w:rPr>
                              <w:rFonts w:ascii="Calibri" w:eastAsia="Calibri" w:hAnsi="Calibri" w:cs="Calibri"/>
                              <w:noProof/>
                              <w:color w:val="0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FCD8B2" id="_x0000_t202" coordsize="21600,21600" o:spt="202" path="m,l,21600r21600,l21600,xe">
              <v:stroke joinstyle="miter"/>
              <v:path gradientshapeok="t" o:connecttype="rect"/>
            </v:shapetype>
            <v:shape id="Text Box 3" o:spid="_x0000_s1027" type="#_x0000_t202" alt="Nasdaq - Internal Use: Distribution limited to Nasdaq personnel and authorized third parties subject to confidentiality obligations" style="position:absolute;margin-left:0;margin-top:0;width:451.3pt;height:44.3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uDAIAAB0EAAAOAAAAZHJzL2Uyb0RvYy54bWysU01v2zAMvQ/YfxB0X2xnSLYZcYqsRYYB&#10;QVsgHXpWZCk2IImCpMTOfv0oOU66rqdiF/mZpPjx+LS46bUiR+F8C6aixSSnRBgOdWv2Ff31tP70&#10;lRIfmKmZAiMqehKe3iw/flh0thRTaEDVwhFMYnzZ2Yo2IdgyyzxvhGZ+AlYYdEpwmgX8dfusdqzD&#10;7Fpl0zyfZx242jrgwnu03g1Oukz5pRQ8PEjpRSCqothbSKdL5y6e2XLByr1jtmn5uQ32ji40aw0W&#10;vaS6Y4GRg2v/SaVb7sCDDBMOOgMpWy7SDDhNkb+aZtswK9IsSI63F5r8/0vL749b++hI6L9DjwuM&#10;hHTWlx6NcZ5eOh2/2ClBP1J4utAm+kA4GmdfPhezAl0cfbP5dI4Y02TX29b58EOAJhFU1OFaElvs&#10;uPFhCB1DYjED61aptBpl/jJgzmjJri1GFPpdT9r6Rfs7qE84lYNh4d7ydYulN8yHR+Zww9gtqjY8&#10;4CEVdBWFM6KkAff7LXuMR+LRS0mHiqmoQUlTon4aXEgU1wjcCHYJFN/yWY5+c9C3gDos8ElYniBa&#10;XVAjlA70M+p5FQuhixmO5Sq6G+FtGKSL74GL1SoFoY4sCxuztTymjnRFLp/6Z+bsmfCAq7qHUU6s&#10;fMX7EBtvers6BGQ/LSVSOxB5Zhw1mNZ6fi9R5C//U9T1VS//AAAA//8DAFBLAwQUAAYACAAAACEA&#10;xE03sdwAAAAEAQAADwAAAGRycy9kb3ducmV2LnhtbEyPwWrDMBBE74X+g9hCb41chxrXtRxCIKeU&#10;QpJeelOkje3WWhlrnTh/XzWX9LIwzDDztlxMrhMnHELrScHzLAGBZLxtqVbwuV8/5SACa7K684QK&#10;LhhgUd3flbqw/kxbPO24FrGEQqEVNMx9IWUwDTodZr5Hit7RD05zlEMt7aDPsdx1Mk2STDrdUlxo&#10;dI+rBs3PbnQKXrb8Pn7Qfv41pZfvTb8y8+PGKPX4MC3fQDBOfAvDH35EhyoyHfxINohOQXyErzd6&#10;r0magTgoyPMMZFXK//DVLwAAAP//AwBQSwECLQAUAAYACAAAACEAtoM4kv4AAADhAQAAEwAAAAAA&#10;AAAAAAAAAAAAAAAAW0NvbnRlbnRfVHlwZXNdLnhtbFBLAQItABQABgAIAAAAIQA4/SH/1gAAAJQB&#10;AAALAAAAAAAAAAAAAAAAAC8BAABfcmVscy8ucmVsc1BLAQItABQABgAIAAAAIQB/dUBuDAIAAB0E&#10;AAAOAAAAAAAAAAAAAAAAAC4CAABkcnMvZTJvRG9jLnhtbFBLAQItABQABgAIAAAAIQDETTex3AAA&#10;AAQBAAAPAAAAAAAAAAAAAAAAAGYEAABkcnMvZG93bnJldi54bWxQSwUGAAAAAAQABADzAAAAbwUA&#10;AAAA&#10;" filled="f" stroked="f">
              <v:textbox style="mso-fit-shape-to-text:t" inset="0,0,0,15pt">
                <w:txbxContent>
                  <w:p w14:paraId="4E648898" w14:textId="5201583A" w:rsidR="00B46B2D" w:rsidRPr="00B46B2D" w:rsidRDefault="00B46B2D" w:rsidP="00B46B2D">
                    <w:pPr>
                      <w:rPr>
                        <w:rFonts w:ascii="Calibri" w:eastAsia="Calibri" w:hAnsi="Calibri" w:cs="Calibri"/>
                        <w:noProof/>
                        <w:color w:val="000000"/>
                        <w:sz w:val="24"/>
                        <w:szCs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C8E8" w14:textId="1B850337" w:rsidR="00B46B2D" w:rsidRDefault="00B46B2D">
    <w:pPr>
      <w:pStyle w:val="Footer"/>
    </w:pPr>
    <w:r>
      <w:rPr>
        <w:noProof/>
        <w14:ligatures w14:val="standardContextual"/>
      </w:rPr>
      <mc:AlternateContent>
        <mc:Choice Requires="wps">
          <w:drawing>
            <wp:anchor distT="0" distB="0" distL="0" distR="0" simplePos="0" relativeHeight="251658240" behindDoc="0" locked="0" layoutInCell="1" allowOverlap="1" wp14:anchorId="58D919C3" wp14:editId="5390E266">
              <wp:simplePos x="635" y="635"/>
              <wp:positionH relativeFrom="page">
                <wp:align>center</wp:align>
              </wp:positionH>
              <wp:positionV relativeFrom="page">
                <wp:align>bottom</wp:align>
              </wp:positionV>
              <wp:extent cx="5731510" cy="562610"/>
              <wp:effectExtent l="0" t="0" r="2540" b="0"/>
              <wp:wrapNone/>
              <wp:docPr id="17881498" name="Text Box 1" descr="Nasdaq - Internal Use: Distribution limited to Nasdaq personnel and authorized third parties subject to confidentiality obligati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62610"/>
                      </a:xfrm>
                      <a:prstGeom prst="rect">
                        <a:avLst/>
                      </a:prstGeom>
                      <a:noFill/>
                      <a:ln>
                        <a:noFill/>
                      </a:ln>
                    </wps:spPr>
                    <wps:txbx>
                      <w:txbxContent>
                        <w:p w14:paraId="0F512CBA" w14:textId="382D9F88" w:rsidR="00B46B2D" w:rsidRPr="00B46B2D" w:rsidRDefault="00B46B2D" w:rsidP="00B46B2D">
                          <w:pPr>
                            <w:rPr>
                              <w:rFonts w:ascii="Calibri" w:eastAsia="Calibri" w:hAnsi="Calibri" w:cs="Calibri"/>
                              <w:noProof/>
                              <w:color w:val="000000"/>
                              <w:sz w:val="24"/>
                              <w:szCs w:val="24"/>
                            </w:rPr>
                          </w:pPr>
                          <w:r w:rsidRPr="00B46B2D">
                            <w:rPr>
                              <w:rFonts w:ascii="Calibri" w:eastAsia="Calibri" w:hAnsi="Calibri" w:cs="Calibri"/>
                              <w:noProof/>
                              <w:color w:val="000000"/>
                              <w:sz w:val="24"/>
                              <w:szCs w:val="24"/>
                            </w:rPr>
                            <w:t>Nasdaq - Internal Use: Distribution limited to Nasdaq personnel and authorized third parties subject to confidentiality obligations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D919C3" id="_x0000_t202" coordsize="21600,21600" o:spt="202" path="m,l,21600r21600,l21600,xe">
              <v:stroke joinstyle="miter"/>
              <v:path gradientshapeok="t" o:connecttype="rect"/>
            </v:shapetype>
            <v:shape id="Text Box 1" o:spid="_x0000_s1028" type="#_x0000_t202" alt="Nasdaq - Internal Use: Distribution limited to Nasdaq personnel and authorized third parties subject to confidentiality obligations" style="position:absolute;margin-left:0;margin-top:0;width:451.3pt;height:44.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JcoDgIAAB0EAAAOAAAAZHJzL2Uyb0RvYy54bWysU01v2zAMvQ/YfxB0X2xnSLYacYqsRYYB&#10;QVsgLXpWZCk2IImCpMTOfv0oOU62dqdhF/mZpPjx+LS47bUiR+F8C6aixSSnRBgOdWv2FX15Xn/6&#10;SokPzNRMgREVPQlPb5cfPyw6W4opNKBq4QgmMb7sbEWbEGyZZZ43QjM/ASsMOiU4zQL+un1WO9Zh&#10;dq2yaZ7Psw5cbR1w4T1a7wcnXab8UgoeHqX0IhBVUewtpNOlcxfPbLlg5d4x27T83Ab7hy40aw0W&#10;vaS6Z4GRg2vfpdItd+BBhgkHnYGULRdpBpymyN9Ms22YFWkWJMfbC03+/6XlD8etfXIk9N+gxwVG&#10;QjrrS4/GOE8vnY5f7JSgHyk8XWgTfSAcjbMvn4tZgS6Ovtl8OkeMabLrbet8+C5Akwgq6nAtiS12&#10;3PgwhI4hsZiBdatUWo0yfxgwZ7Rk1xYjCv2uJ21d0enY/g7qE07lYFi4t3zdYukN8+GJOdwwdouq&#10;DY94SAVdReGMKGnA/fybPcYj8eilpEPFVNSgpClRPwwuJIprBG4EuwSKm3yWo98c9B2gDgt8EpYn&#10;iFYX1AilA/2Kel7FQuhihmO5iu5GeBcG6eJ74GK1SkGoI8vCxmwtj6kjXZHL5/6VOXsmPOCqHmCU&#10;Eyvf8D7Expverg4B2U9LidQORJ4ZRw2mtZ7fSxT57/8p6vqql78AAAD//wMAUEsDBBQABgAIAAAA&#10;IQDETTex3AAAAAQBAAAPAAAAZHJzL2Rvd25yZXYueG1sTI/BasMwEETvhf6D2EJvjVyHGte1HEIg&#10;p5RCkl56U6SN7dZaGWudOH9fNZf0sjDMMPO2XEyuEyccQutJwfMsAYFkvG2pVvC5Xz/lIAJrsrrz&#10;hAouGGBR3d+VurD+TFs87bgWsYRCoRU0zH0hZTANOh1mvkeK3tEPTnOUQy3toM+x3HUyTZJMOt1S&#10;XGh0j6sGzc9udApetvw+ftB+/jWll+9NvzLz48Yo9fgwLd9AME58C8MffkSHKjId/Eg2iE5BfISv&#10;N3qvSZqBOCjI8wxkVcr/8NUvAAAA//8DAFBLAQItABQABgAIAAAAIQC2gziS/gAAAOEBAAATAAAA&#10;AAAAAAAAAAAAAAAAAABbQ29udGVudF9UeXBlc10ueG1sUEsBAi0AFAAGAAgAAAAhADj9If/WAAAA&#10;lAEAAAsAAAAAAAAAAAAAAAAALwEAAF9yZWxzLy5yZWxzUEsBAi0AFAAGAAgAAAAhAMi0lygOAgAA&#10;HQQAAA4AAAAAAAAAAAAAAAAALgIAAGRycy9lMm9Eb2MueG1sUEsBAi0AFAAGAAgAAAAhAMRNN7Hc&#10;AAAABAEAAA8AAAAAAAAAAAAAAAAAaAQAAGRycy9kb3ducmV2LnhtbFBLBQYAAAAABAAEAPMAAABx&#10;BQAAAAA=&#10;" filled="f" stroked="f">
              <v:textbox style="mso-fit-shape-to-text:t" inset="0,0,0,15pt">
                <w:txbxContent>
                  <w:p w14:paraId="0F512CBA" w14:textId="382D9F88" w:rsidR="00B46B2D" w:rsidRPr="00B46B2D" w:rsidRDefault="00B46B2D" w:rsidP="00B46B2D">
                    <w:pPr>
                      <w:rPr>
                        <w:rFonts w:ascii="Calibri" w:eastAsia="Calibri" w:hAnsi="Calibri" w:cs="Calibri"/>
                        <w:noProof/>
                        <w:color w:val="000000"/>
                        <w:sz w:val="24"/>
                        <w:szCs w:val="24"/>
                      </w:rPr>
                    </w:pPr>
                    <w:r w:rsidRPr="00B46B2D">
                      <w:rPr>
                        <w:rFonts w:ascii="Calibri" w:eastAsia="Calibri" w:hAnsi="Calibri" w:cs="Calibri"/>
                        <w:noProof/>
                        <w:color w:val="000000"/>
                        <w:sz w:val="24"/>
                        <w:szCs w:val="24"/>
                      </w:rPr>
                      <w:t>Nasdaq - Internal Use: Distribution limited to Nasdaq personnel and authorized third parties subject to confidentiality obligations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0C41B" w14:textId="77777777" w:rsidR="00AF1D65" w:rsidRDefault="00AF1D65" w:rsidP="00B46B2D">
      <w:pPr>
        <w:spacing w:line="240" w:lineRule="auto"/>
      </w:pPr>
      <w:r>
        <w:separator/>
      </w:r>
    </w:p>
  </w:footnote>
  <w:footnote w:type="continuationSeparator" w:id="0">
    <w:p w14:paraId="39DB0319" w14:textId="77777777" w:rsidR="00AF1D65" w:rsidRDefault="00AF1D65" w:rsidP="00B46B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67ED" w14:textId="3D1E1C8C" w:rsidR="00D925D4" w:rsidRDefault="00D925D4" w:rsidP="00D925D4">
    <w:pPr>
      <w:pStyle w:val="Heading2"/>
      <w:jc w:val="right"/>
    </w:pPr>
    <w:r>
      <w:rPr>
        <w:noProof/>
      </w:rPr>
      <w:drawing>
        <wp:inline distT="0" distB="0" distL="0" distR="0" wp14:anchorId="2C3AA8D9" wp14:editId="07540010">
          <wp:extent cx="1607820" cy="457200"/>
          <wp:effectExtent l="0" t="0" r="0" b="0"/>
          <wp:docPr id="2"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820" cy="457200"/>
                  </a:xfrm>
                  <a:prstGeom prst="rect">
                    <a:avLst/>
                  </a:prstGeom>
                  <a:noFill/>
                  <a:ln>
                    <a:noFill/>
                  </a:ln>
                </pic:spPr>
              </pic:pic>
            </a:graphicData>
          </a:graphic>
        </wp:inline>
      </w:drawing>
    </w:r>
  </w:p>
  <w:p w14:paraId="64E4D17A" w14:textId="77777777" w:rsidR="00D925D4" w:rsidRPr="00D925D4" w:rsidRDefault="00D925D4" w:rsidP="00D925D4">
    <w:pPr>
      <w:pStyle w:val="Dokumenttyp"/>
      <w:tabs>
        <w:tab w:val="left" w:pos="5670"/>
        <w:tab w:val="left" w:pos="6379"/>
      </w:tabs>
      <w:ind w:left="0"/>
      <w:rPr>
        <w:rFonts w:asciiTheme="minorHAnsi" w:hAnsiTheme="minorHAnsi" w:cstheme="minorHAnsi"/>
        <w:szCs w:val="22"/>
        <w:lang w:val="en-US"/>
      </w:rPr>
    </w:pPr>
    <w:r w:rsidRPr="00D925D4">
      <w:rPr>
        <w:rFonts w:asciiTheme="minorHAnsi" w:hAnsiTheme="minorHAnsi" w:cstheme="minorHAnsi"/>
        <w:szCs w:val="22"/>
        <w:lang w:val="en-US"/>
      </w:rPr>
      <w:t xml:space="preserve"> </w:t>
    </w:r>
    <w:r w:rsidRPr="00D925D4">
      <w:rPr>
        <w:rFonts w:asciiTheme="minorHAnsi" w:hAnsiTheme="minorHAnsi" w:cstheme="minorHAnsi"/>
        <w:szCs w:val="22"/>
        <w:lang w:val="en-US"/>
      </w:rPr>
      <w:tab/>
    </w:r>
    <w:r w:rsidRPr="00D925D4">
      <w:rPr>
        <w:rFonts w:asciiTheme="minorHAnsi" w:hAnsiTheme="minorHAnsi" w:cstheme="minorHAnsi"/>
        <w:szCs w:val="22"/>
        <w:lang w:val="en-US"/>
      </w:rPr>
      <w:tab/>
    </w:r>
    <w:r w:rsidRPr="00D925D4">
      <w:rPr>
        <w:rFonts w:asciiTheme="minorHAnsi" w:hAnsiTheme="minorHAnsi" w:cstheme="minorHAnsi"/>
        <w:spacing w:val="0"/>
        <w:szCs w:val="22"/>
        <w:lang w:val="en-US"/>
      </w:rPr>
      <w:t>Surveillance Stockholm</w:t>
    </w:r>
  </w:p>
  <w:p w14:paraId="44509E6F" w14:textId="4B983557" w:rsidR="00A94209" w:rsidRPr="00D925D4" w:rsidRDefault="00A94209">
    <w:pPr>
      <w:pStyle w:val="Header"/>
      <w:rPr>
        <w:rFonts w:asciiTheme="minorHAnsi" w:hAnsiTheme="minorHAnsi" w:cstheme="minorHAns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6319F"/>
    <w:multiLevelType w:val="hybridMultilevel"/>
    <w:tmpl w:val="ABA2060A"/>
    <w:lvl w:ilvl="0" w:tplc="0F8009F0">
      <w:start w:val="1"/>
      <w:numFmt w:val="lowerRoman"/>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95189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B2D"/>
    <w:rsid w:val="000847D8"/>
    <w:rsid w:val="0011030C"/>
    <w:rsid w:val="0021230B"/>
    <w:rsid w:val="00333AF1"/>
    <w:rsid w:val="0033782D"/>
    <w:rsid w:val="003F0491"/>
    <w:rsid w:val="00405E2B"/>
    <w:rsid w:val="00580DF7"/>
    <w:rsid w:val="005B2A08"/>
    <w:rsid w:val="00892316"/>
    <w:rsid w:val="00986052"/>
    <w:rsid w:val="00A94209"/>
    <w:rsid w:val="00AA2C3F"/>
    <w:rsid w:val="00AF1D65"/>
    <w:rsid w:val="00B46B2D"/>
    <w:rsid w:val="00B945E7"/>
    <w:rsid w:val="00BF6768"/>
    <w:rsid w:val="00D25266"/>
    <w:rsid w:val="00D925D4"/>
    <w:rsid w:val="00DD47D1"/>
    <w:rsid w:val="00F767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CD3F80"/>
  <w15:chartTrackingRefBased/>
  <w15:docId w15:val="{C57A8E64-F0C4-4504-841C-47227193E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B2D"/>
    <w:pPr>
      <w:spacing w:after="0" w:line="260" w:lineRule="atLeast"/>
    </w:pPr>
    <w:rPr>
      <w:rFonts w:ascii="Times New Roman" w:eastAsia="Times New Roman" w:hAnsi="Times New Roman" w:cs="Times New Roman"/>
      <w:kern w:val="0"/>
      <w:szCs w:val="20"/>
      <w:lang w:val="en-US"/>
      <w14:ligatures w14:val="none"/>
    </w:rPr>
  </w:style>
  <w:style w:type="paragraph" w:styleId="Heading1">
    <w:name w:val="heading 1"/>
    <w:basedOn w:val="Normal"/>
    <w:next w:val="Normal"/>
    <w:link w:val="Heading1Char"/>
    <w:qFormat/>
    <w:rsid w:val="00B46B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B46B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B46B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B46B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B46B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B46B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46B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B46B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B46B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6B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6B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6B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6B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6B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6B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B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B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B2D"/>
    <w:rPr>
      <w:rFonts w:eastAsiaTheme="majorEastAsia" w:cstheme="majorBidi"/>
      <w:color w:val="272727" w:themeColor="text1" w:themeTint="D8"/>
    </w:rPr>
  </w:style>
  <w:style w:type="paragraph" w:styleId="Title">
    <w:name w:val="Title"/>
    <w:basedOn w:val="Normal"/>
    <w:next w:val="Normal"/>
    <w:link w:val="TitleChar"/>
    <w:uiPriority w:val="10"/>
    <w:qFormat/>
    <w:rsid w:val="00B46B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B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B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B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B2D"/>
    <w:pPr>
      <w:spacing w:before="160"/>
      <w:jc w:val="center"/>
    </w:pPr>
    <w:rPr>
      <w:i/>
      <w:iCs/>
      <w:color w:val="404040" w:themeColor="text1" w:themeTint="BF"/>
    </w:rPr>
  </w:style>
  <w:style w:type="character" w:customStyle="1" w:styleId="QuoteChar">
    <w:name w:val="Quote Char"/>
    <w:basedOn w:val="DefaultParagraphFont"/>
    <w:link w:val="Quote"/>
    <w:uiPriority w:val="29"/>
    <w:rsid w:val="00B46B2D"/>
    <w:rPr>
      <w:i/>
      <w:iCs/>
      <w:color w:val="404040" w:themeColor="text1" w:themeTint="BF"/>
    </w:rPr>
  </w:style>
  <w:style w:type="paragraph" w:styleId="ListParagraph">
    <w:name w:val="List Paragraph"/>
    <w:basedOn w:val="Normal"/>
    <w:uiPriority w:val="34"/>
    <w:qFormat/>
    <w:rsid w:val="00B46B2D"/>
    <w:pPr>
      <w:ind w:left="720"/>
      <w:contextualSpacing/>
    </w:pPr>
  </w:style>
  <w:style w:type="character" w:styleId="IntenseEmphasis">
    <w:name w:val="Intense Emphasis"/>
    <w:basedOn w:val="DefaultParagraphFont"/>
    <w:uiPriority w:val="21"/>
    <w:qFormat/>
    <w:rsid w:val="00B46B2D"/>
    <w:rPr>
      <w:i/>
      <w:iCs/>
      <w:color w:val="2F5496" w:themeColor="accent1" w:themeShade="BF"/>
    </w:rPr>
  </w:style>
  <w:style w:type="paragraph" w:styleId="IntenseQuote">
    <w:name w:val="Intense Quote"/>
    <w:basedOn w:val="Normal"/>
    <w:next w:val="Normal"/>
    <w:link w:val="IntenseQuoteChar"/>
    <w:uiPriority w:val="30"/>
    <w:qFormat/>
    <w:rsid w:val="00B46B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6B2D"/>
    <w:rPr>
      <w:i/>
      <w:iCs/>
      <w:color w:val="2F5496" w:themeColor="accent1" w:themeShade="BF"/>
    </w:rPr>
  </w:style>
  <w:style w:type="character" w:styleId="IntenseReference">
    <w:name w:val="Intense Reference"/>
    <w:basedOn w:val="DefaultParagraphFont"/>
    <w:uiPriority w:val="32"/>
    <w:qFormat/>
    <w:rsid w:val="00B46B2D"/>
    <w:rPr>
      <w:b/>
      <w:bCs/>
      <w:smallCaps/>
      <w:color w:val="2F5496" w:themeColor="accent1" w:themeShade="BF"/>
      <w:spacing w:val="5"/>
    </w:rPr>
  </w:style>
  <w:style w:type="paragraph" w:styleId="Footer">
    <w:name w:val="footer"/>
    <w:basedOn w:val="Normal"/>
    <w:link w:val="FooterChar"/>
    <w:uiPriority w:val="99"/>
    <w:unhideWhenUsed/>
    <w:rsid w:val="00B46B2D"/>
    <w:pPr>
      <w:tabs>
        <w:tab w:val="center" w:pos="4513"/>
        <w:tab w:val="right" w:pos="9026"/>
      </w:tabs>
      <w:spacing w:line="240" w:lineRule="auto"/>
    </w:pPr>
  </w:style>
  <w:style w:type="character" w:customStyle="1" w:styleId="FooterChar">
    <w:name w:val="Footer Char"/>
    <w:basedOn w:val="DefaultParagraphFont"/>
    <w:link w:val="Footer"/>
    <w:uiPriority w:val="99"/>
    <w:rsid w:val="00B46B2D"/>
    <w:rPr>
      <w:rFonts w:ascii="Times New Roman" w:eastAsia="Times New Roman" w:hAnsi="Times New Roman" w:cs="Times New Roman"/>
      <w:kern w:val="0"/>
      <w:szCs w:val="20"/>
      <w:lang w:val="en-US"/>
      <w14:ligatures w14:val="none"/>
    </w:rPr>
  </w:style>
  <w:style w:type="paragraph" w:styleId="Header">
    <w:name w:val="header"/>
    <w:basedOn w:val="Normal"/>
    <w:link w:val="HeaderChar"/>
    <w:uiPriority w:val="99"/>
    <w:unhideWhenUsed/>
    <w:rsid w:val="00A94209"/>
    <w:pPr>
      <w:tabs>
        <w:tab w:val="center" w:pos="4513"/>
        <w:tab w:val="right" w:pos="9026"/>
      </w:tabs>
      <w:spacing w:line="240" w:lineRule="auto"/>
    </w:pPr>
  </w:style>
  <w:style w:type="character" w:customStyle="1" w:styleId="HeaderChar">
    <w:name w:val="Header Char"/>
    <w:basedOn w:val="DefaultParagraphFont"/>
    <w:link w:val="Header"/>
    <w:uiPriority w:val="99"/>
    <w:rsid w:val="00A94209"/>
    <w:rPr>
      <w:rFonts w:ascii="Times New Roman" w:eastAsia="Times New Roman" w:hAnsi="Times New Roman" w:cs="Times New Roman"/>
      <w:kern w:val="0"/>
      <w:szCs w:val="20"/>
      <w:lang w:val="en-US"/>
      <w14:ligatures w14:val="none"/>
    </w:rPr>
  </w:style>
  <w:style w:type="paragraph" w:customStyle="1" w:styleId="Dokumenttyp">
    <w:name w:val="Dokumenttyp"/>
    <w:basedOn w:val="Normal"/>
    <w:rsid w:val="00D925D4"/>
    <w:pPr>
      <w:spacing w:line="280" w:lineRule="atLeast"/>
      <w:ind w:left="105"/>
    </w:pPr>
    <w:rPr>
      <w:rFonts w:ascii="Calibri" w:eastAsia="SimSun" w:hAnsi="Calibri"/>
      <w:spacing w:val="1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e63fdbc-9223-49ac-a12c-b8ae101f8b2d}" enabled="1" method="Standard" siteId="{d0b75e95-684a-45e3-8d2d-53fa2a6a513f}"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818</Words>
  <Characters>4270</Characters>
  <Application>Microsoft Office Word</Application>
  <DocSecurity>0</DocSecurity>
  <Lines>207</Lines>
  <Paragraphs>72</Paragraphs>
  <ScaleCrop>false</ScaleCrop>
  <Company>Nasdaq</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Gunnarsdottir Lagerqvist</dc:creator>
  <cp:keywords/>
  <dc:description/>
  <cp:lastModifiedBy>Liam Travers</cp:lastModifiedBy>
  <cp:revision>3</cp:revision>
  <dcterms:created xsi:type="dcterms:W3CDTF">2026-02-03T13:55:00Z</dcterms:created>
  <dcterms:modified xsi:type="dcterms:W3CDTF">2026-02-03T13:55:00Z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110d99a,30fac26b,1fd439aa</vt:lpwstr>
  </property>
  <property fmtid="{D5CDD505-2E9C-101B-9397-08002B2CF9AE}" pid="3" name="ClassificationContentMarkingFooterFontProps">
    <vt:lpwstr>#000000,12,Calibri</vt:lpwstr>
  </property>
  <property fmtid="{D5CDD505-2E9C-101B-9397-08002B2CF9AE}" pid="4" name="ClassificationContentMarkingFooterText">
    <vt:lpwstr>Nasdaq - Internal Use: Distribution limited to Nasdaq personnel and authorized third parties subject to confidentiality obligations</vt:lpwstr>
  </property>
</Properties>
</file>