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5A7F9" w14:textId="4A928D1E" w:rsidR="00D14C6E" w:rsidRDefault="00D14C6E">
      <w:r w:rsidRPr="00D14C6E">
        <w:rPr>
          <w:noProof/>
        </w:rPr>
        <w:drawing>
          <wp:anchor distT="0" distB="0" distL="114300" distR="114300" simplePos="0" relativeHeight="251659264" behindDoc="0" locked="0" layoutInCell="1" allowOverlap="1" wp14:anchorId="733C9F85" wp14:editId="2924C644">
            <wp:simplePos x="0" y="0"/>
            <wp:positionH relativeFrom="margin">
              <wp:align>right</wp:align>
            </wp:positionH>
            <wp:positionV relativeFrom="paragraph">
              <wp:posOffset>0</wp:posOffset>
            </wp:positionV>
            <wp:extent cx="5943600" cy="1670050"/>
            <wp:effectExtent l="0" t="0" r="0" b="6350"/>
            <wp:wrapNone/>
            <wp:docPr id="2209" name="Picture 2209"/>
            <wp:cNvGraphicFramePr/>
            <a:graphic xmlns:a="http://schemas.openxmlformats.org/drawingml/2006/main">
              <a:graphicData uri="http://schemas.openxmlformats.org/drawingml/2006/picture">
                <pic:pic xmlns:pic="http://schemas.openxmlformats.org/drawingml/2006/picture">
                  <pic:nvPicPr>
                    <pic:cNvPr id="2209" name="Picture 2209"/>
                    <pic:cNvPicPr/>
                  </pic:nvPicPr>
                  <pic:blipFill>
                    <a:blip r:embed="rId10"/>
                    <a:stretch>
                      <a:fillRect/>
                    </a:stretch>
                  </pic:blipFill>
                  <pic:spPr>
                    <a:xfrm>
                      <a:off x="0" y="0"/>
                      <a:ext cx="5943600" cy="1670050"/>
                    </a:xfrm>
                    <a:prstGeom prst="rect">
                      <a:avLst/>
                    </a:prstGeom>
                  </pic:spPr>
                </pic:pic>
              </a:graphicData>
            </a:graphic>
            <wp14:sizeRelH relativeFrom="margin">
              <wp14:pctWidth>0</wp14:pctWidth>
            </wp14:sizeRelH>
          </wp:anchor>
        </w:drawing>
      </w:r>
      <w:r w:rsidRPr="00D14C6E">
        <w:rPr>
          <w:noProof/>
        </w:rPr>
        <mc:AlternateContent>
          <mc:Choice Requires="wps">
            <w:drawing>
              <wp:anchor distT="0" distB="0" distL="114300" distR="114300" simplePos="0" relativeHeight="251660288" behindDoc="0" locked="0" layoutInCell="1" allowOverlap="1" wp14:anchorId="379A9F4D" wp14:editId="41DE216B">
                <wp:simplePos x="0" y="0"/>
                <wp:positionH relativeFrom="column">
                  <wp:posOffset>293370</wp:posOffset>
                </wp:positionH>
                <wp:positionV relativeFrom="paragraph">
                  <wp:posOffset>622300</wp:posOffset>
                </wp:positionV>
                <wp:extent cx="4309380" cy="639538"/>
                <wp:effectExtent l="0" t="0" r="0" b="0"/>
                <wp:wrapNone/>
                <wp:docPr id="188" name="Rectangle 188"/>
                <wp:cNvGraphicFramePr/>
                <a:graphic xmlns:a="http://schemas.openxmlformats.org/drawingml/2006/main">
                  <a:graphicData uri="http://schemas.microsoft.com/office/word/2010/wordprocessingShape">
                    <wps:wsp>
                      <wps:cNvSpPr/>
                      <wps:spPr>
                        <a:xfrm>
                          <a:off x="0" y="0"/>
                          <a:ext cx="4309380" cy="639538"/>
                        </a:xfrm>
                        <a:prstGeom prst="rect">
                          <a:avLst/>
                        </a:prstGeom>
                        <a:ln>
                          <a:noFill/>
                        </a:ln>
                      </wps:spPr>
                      <wps:txbx>
                        <w:txbxContent>
                          <w:p w14:paraId="3C209F78" w14:textId="77777777" w:rsidR="00D14C6E" w:rsidRDefault="00D14C6E" w:rsidP="00D14C6E">
                            <w:r>
                              <w:rPr>
                                <w:rFonts w:ascii="Arial" w:eastAsia="Arial" w:hAnsi="Arial" w:cs="Arial"/>
                                <w:color w:val="FFFFFF"/>
                                <w:sz w:val="68"/>
                              </w:rPr>
                              <w:t xml:space="preserve">Nasdaq Canada </w:t>
                            </w:r>
                          </w:p>
                        </w:txbxContent>
                      </wps:txbx>
                      <wps:bodyPr horzOverflow="overflow" vert="horz" lIns="0" tIns="0" rIns="0" bIns="0" rtlCol="0">
                        <a:noAutofit/>
                      </wps:bodyPr>
                    </wps:wsp>
                  </a:graphicData>
                </a:graphic>
              </wp:anchor>
            </w:drawing>
          </mc:Choice>
          <mc:Fallback xmlns:a="http://schemas.openxmlformats.org/drawingml/2006/main" xmlns:pic="http://schemas.openxmlformats.org/drawingml/2006/picture">
            <w:pict>
              <v:rect id="Rectangle 188" style="position:absolute;margin-left:23.1pt;margin-top:49pt;width:339.3pt;height:50.3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w14:anchorId="379A9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">
                <v:textbox inset="0,0,0,0">
                  <w:txbxContent>
                    <w:p w:rsidR="00D14C6E" w:rsidP="00D14C6E" w:rsidRDefault="00D14C6E" w14:paraId="3C209F78" w14:textId="77777777">
                      <w:r>
                        <w:rPr>
                          <w:rFonts w:ascii="Arial" w:hAnsi="Arial" w:eastAsia="Arial" w:cs="Arial"/>
                          <w:color w:val="FFFFFF"/>
                          <w:sz w:val="68"/>
                        </w:rPr>
                        <w:t xml:space="preserve">Nasdaq Canada </w:t>
                      </w:r>
                    </w:p>
                  </w:txbxContent>
                </v:textbox>
              </v:rect>
            </w:pict>
          </mc:Fallback>
        </mc:AlternateContent>
      </w:r>
    </w:p>
    <w:p w14:paraId="6130D588" w14:textId="297CAE3B" w:rsidR="00D14C6E" w:rsidRDefault="00D14C6E"/>
    <w:p w14:paraId="2F34CF86" w14:textId="180A031A" w:rsidR="00D14C6E" w:rsidRDefault="00D14C6E"/>
    <w:p w14:paraId="5325B17E" w14:textId="68171FB0" w:rsidR="00D14C6E" w:rsidRDefault="00D14C6E"/>
    <w:p w14:paraId="5A2798E0" w14:textId="77777777" w:rsidR="00D14C6E" w:rsidRDefault="00D14C6E"/>
    <w:p w14:paraId="31E65D9D" w14:textId="77777777" w:rsidR="00D14C6E" w:rsidRDefault="00D14C6E"/>
    <w:p w14:paraId="7DDD4E32" w14:textId="77777777" w:rsidR="00D14C6E" w:rsidRPr="00D14C6E" w:rsidRDefault="00D14C6E">
      <w:pPr>
        <w:rPr>
          <w:rFonts w:ascii="Arial" w:hAnsi="Arial" w:cs="Arial"/>
        </w:rPr>
      </w:pPr>
    </w:p>
    <w:p w14:paraId="4EAF94E8" w14:textId="034B58EB" w:rsidR="00B47DF1" w:rsidRPr="00D14C6E" w:rsidRDefault="000F6F82">
      <w:pPr>
        <w:rPr>
          <w:rFonts w:ascii="Arial" w:hAnsi="Arial" w:cs="Arial"/>
          <w:b/>
          <w:bCs/>
          <w:sz w:val="21"/>
          <w:szCs w:val="21"/>
        </w:rPr>
      </w:pPr>
      <w:r w:rsidRPr="3007FB9F">
        <w:rPr>
          <w:rFonts w:ascii="Arial" w:hAnsi="Arial" w:cs="Arial"/>
          <w:b/>
          <w:bCs/>
          <w:sz w:val="21"/>
          <w:szCs w:val="21"/>
        </w:rPr>
        <w:t>Notice 202</w:t>
      </w:r>
      <w:r w:rsidR="00196B18">
        <w:rPr>
          <w:rFonts w:ascii="Arial" w:hAnsi="Arial" w:cs="Arial"/>
          <w:b/>
          <w:bCs/>
          <w:sz w:val="21"/>
          <w:szCs w:val="21"/>
        </w:rPr>
        <w:t>2</w:t>
      </w:r>
      <w:r w:rsidRPr="3007FB9F">
        <w:rPr>
          <w:rFonts w:ascii="Arial" w:hAnsi="Arial" w:cs="Arial"/>
          <w:b/>
          <w:bCs/>
          <w:sz w:val="21"/>
          <w:szCs w:val="21"/>
        </w:rPr>
        <w:t>-</w:t>
      </w:r>
      <w:r w:rsidR="00196B18">
        <w:rPr>
          <w:rFonts w:ascii="Arial" w:hAnsi="Arial" w:cs="Arial"/>
          <w:b/>
          <w:bCs/>
          <w:sz w:val="21"/>
          <w:szCs w:val="21"/>
        </w:rPr>
        <w:t>010</w:t>
      </w:r>
      <w:r w:rsidR="00AB7536">
        <w:rPr>
          <w:rFonts w:ascii="Arial" w:hAnsi="Arial" w:cs="Arial"/>
          <w:b/>
          <w:bCs/>
          <w:sz w:val="21"/>
          <w:szCs w:val="21"/>
        </w:rPr>
        <w:t>6</w:t>
      </w:r>
      <w:r w:rsidRPr="3007FB9F">
        <w:rPr>
          <w:rFonts w:ascii="Arial" w:hAnsi="Arial" w:cs="Arial"/>
          <w:b/>
          <w:bCs/>
          <w:sz w:val="21"/>
          <w:szCs w:val="21"/>
        </w:rPr>
        <w:t xml:space="preserve">-01                                                                         </w:t>
      </w:r>
      <w:r w:rsidR="00D14C6E" w:rsidRPr="3007FB9F">
        <w:rPr>
          <w:rFonts w:ascii="Arial" w:hAnsi="Arial" w:cs="Arial"/>
          <w:b/>
          <w:bCs/>
          <w:sz w:val="21"/>
          <w:szCs w:val="21"/>
        </w:rPr>
        <w:t xml:space="preserve">     </w:t>
      </w:r>
      <w:r w:rsidRPr="3007FB9F">
        <w:rPr>
          <w:rFonts w:ascii="Arial" w:hAnsi="Arial" w:cs="Arial"/>
          <w:b/>
          <w:bCs/>
          <w:sz w:val="21"/>
          <w:szCs w:val="21"/>
        </w:rPr>
        <w:t xml:space="preserve">     </w:t>
      </w:r>
      <w:r w:rsidR="00D14C6E" w:rsidRPr="3007FB9F">
        <w:rPr>
          <w:rFonts w:ascii="Arial" w:hAnsi="Arial" w:cs="Arial"/>
          <w:b/>
          <w:bCs/>
          <w:sz w:val="21"/>
          <w:szCs w:val="21"/>
        </w:rPr>
        <w:t xml:space="preserve">       </w:t>
      </w:r>
      <w:r w:rsidRPr="3007FB9F">
        <w:rPr>
          <w:rFonts w:ascii="Arial" w:hAnsi="Arial" w:cs="Arial"/>
          <w:b/>
          <w:bCs/>
          <w:sz w:val="21"/>
          <w:szCs w:val="21"/>
        </w:rPr>
        <w:t xml:space="preserve">    </w:t>
      </w:r>
      <w:r w:rsidR="00196B18">
        <w:rPr>
          <w:rFonts w:ascii="Arial" w:hAnsi="Arial" w:cs="Arial"/>
          <w:b/>
          <w:bCs/>
          <w:sz w:val="21"/>
          <w:szCs w:val="21"/>
        </w:rPr>
        <w:t xml:space="preserve">January </w:t>
      </w:r>
      <w:r w:rsidR="00AB7536">
        <w:rPr>
          <w:rFonts w:ascii="Arial" w:hAnsi="Arial" w:cs="Arial"/>
          <w:b/>
          <w:bCs/>
          <w:sz w:val="21"/>
          <w:szCs w:val="21"/>
        </w:rPr>
        <w:t>6</w:t>
      </w:r>
      <w:r w:rsidRPr="3007FB9F">
        <w:rPr>
          <w:rFonts w:ascii="Arial" w:hAnsi="Arial" w:cs="Arial"/>
          <w:b/>
          <w:bCs/>
          <w:sz w:val="21"/>
          <w:szCs w:val="21"/>
        </w:rPr>
        <w:t>, 202</w:t>
      </w:r>
      <w:r w:rsidR="00196B18">
        <w:rPr>
          <w:rFonts w:ascii="Arial" w:hAnsi="Arial" w:cs="Arial"/>
          <w:b/>
          <w:bCs/>
          <w:sz w:val="21"/>
          <w:szCs w:val="21"/>
        </w:rPr>
        <w:t>2</w:t>
      </w:r>
    </w:p>
    <w:p w14:paraId="0C011E8F" w14:textId="3E44BB65" w:rsidR="00D14C6E" w:rsidRPr="00D14C6E" w:rsidRDefault="00D14C6E">
      <w:pPr>
        <w:rPr>
          <w:rFonts w:ascii="Arial" w:hAnsi="Arial" w:cs="Arial"/>
          <w:sz w:val="21"/>
          <w:szCs w:val="21"/>
        </w:rPr>
      </w:pPr>
      <w:r>
        <w:rPr>
          <w:rFonts w:ascii="Arial" w:hAnsi="Arial" w:cs="Arial"/>
          <w:sz w:val="21"/>
          <w:szCs w:val="21"/>
        </w:rPr>
        <w:t xml:space="preserve"> </w:t>
      </w:r>
    </w:p>
    <w:p w14:paraId="0B693E34" w14:textId="02D6F852" w:rsidR="000F6F82" w:rsidRPr="00D14C6E" w:rsidRDefault="000F6F82" w:rsidP="00D14C6E">
      <w:pPr>
        <w:shd w:val="clear" w:color="auto" w:fill="FFFFFF"/>
        <w:spacing w:before="225" w:after="60" w:line="240" w:lineRule="auto"/>
        <w:outlineLvl w:val="2"/>
        <w:rPr>
          <w:rFonts w:ascii="Arial" w:eastAsia="Times New Roman" w:hAnsi="Arial" w:cs="Arial"/>
          <w:b/>
          <w:bCs/>
          <w:color w:val="00669E"/>
          <w:sz w:val="21"/>
          <w:szCs w:val="21"/>
        </w:rPr>
      </w:pPr>
      <w:r w:rsidRPr="00D14C6E">
        <w:rPr>
          <w:rFonts w:ascii="Arial" w:eastAsia="Times New Roman" w:hAnsi="Arial" w:cs="Arial"/>
          <w:b/>
          <w:bCs/>
          <w:color w:val="00669E"/>
          <w:sz w:val="21"/>
          <w:szCs w:val="21"/>
        </w:rPr>
        <w:t>What is being announced?</w:t>
      </w:r>
    </w:p>
    <w:p w14:paraId="2B98B68C" w14:textId="0C0C6350" w:rsidR="000F6F82" w:rsidRPr="00D14C6E" w:rsidRDefault="000F6F82">
      <w:pPr>
        <w:rPr>
          <w:rFonts w:ascii="Arial" w:hAnsi="Arial" w:cs="Arial"/>
          <w:sz w:val="21"/>
          <w:szCs w:val="21"/>
        </w:rPr>
      </w:pPr>
      <w:r w:rsidRPr="00D14C6E">
        <w:rPr>
          <w:rFonts w:ascii="Arial" w:hAnsi="Arial" w:cs="Arial"/>
          <w:sz w:val="21"/>
          <w:szCs w:val="21"/>
        </w:rPr>
        <w:t>Nasdaq is introducing a Basic Canada Plus Enterprise License to further expand the opportunity for savings on market data in Canada. This license offers unlimited distribution of Nasdaq Basic Canada, CXC Level 2, and CX2 Level 2. This license provides the opportunity for firms to distribute more Information to more users, while substantially cutting market data costs.</w:t>
      </w:r>
    </w:p>
    <w:p w14:paraId="7AEEEB3C" w14:textId="57AE3345" w:rsidR="000F6F82" w:rsidRPr="00D14C6E" w:rsidRDefault="000A1200" w:rsidP="00D14C6E">
      <w:pPr>
        <w:shd w:val="clear" w:color="auto" w:fill="FFFFFF"/>
        <w:spacing w:before="225" w:after="60" w:line="240" w:lineRule="auto"/>
        <w:outlineLvl w:val="2"/>
        <w:rPr>
          <w:rFonts w:ascii="Arial" w:eastAsia="Times New Roman" w:hAnsi="Arial" w:cs="Arial"/>
          <w:b/>
          <w:bCs/>
          <w:color w:val="00669E"/>
          <w:sz w:val="21"/>
          <w:szCs w:val="21"/>
        </w:rPr>
      </w:pPr>
      <w:r w:rsidRPr="00D14C6E">
        <w:rPr>
          <w:rFonts w:ascii="Arial" w:eastAsia="Times New Roman" w:hAnsi="Arial" w:cs="Arial"/>
          <w:b/>
          <w:bCs/>
          <w:color w:val="00669E"/>
          <w:sz w:val="21"/>
          <w:szCs w:val="21"/>
        </w:rPr>
        <w:t>What data is included in the enterprise license?</w:t>
      </w:r>
    </w:p>
    <w:p w14:paraId="70604548" w14:textId="77777777" w:rsidR="000A1200" w:rsidRPr="00D14C6E" w:rsidRDefault="000A1200" w:rsidP="000A1200">
      <w:pPr>
        <w:rPr>
          <w:rFonts w:ascii="Arial" w:hAnsi="Arial" w:cs="Arial"/>
          <w:sz w:val="21"/>
          <w:szCs w:val="21"/>
        </w:rPr>
      </w:pPr>
      <w:r w:rsidRPr="00D14C6E">
        <w:rPr>
          <w:rFonts w:ascii="Arial" w:hAnsi="Arial" w:cs="Arial"/>
          <w:sz w:val="21"/>
          <w:szCs w:val="21"/>
        </w:rPr>
        <w:t>This license offers unlimited distribution of Nasdaq’s consolidated Level 1 solution, Nasdaq Basic Canada. In addition, the license covers access to Level 2 data for Nasdaq’s CXC and CX2 trading books. For clarification, unlimited distribution means that all data included in this license can be distributed to any number of individuals with a customer relationship with a broker dealer for a flat fee.</w:t>
      </w:r>
    </w:p>
    <w:p w14:paraId="384EC900" w14:textId="77777777" w:rsidR="000A1200" w:rsidRPr="00D14C6E" w:rsidRDefault="000A1200" w:rsidP="000A1200">
      <w:pPr>
        <w:rPr>
          <w:rFonts w:ascii="Arial" w:hAnsi="Arial" w:cs="Arial"/>
          <w:sz w:val="21"/>
          <w:szCs w:val="21"/>
        </w:rPr>
      </w:pPr>
      <w:r w:rsidRPr="00D14C6E">
        <w:rPr>
          <w:rFonts w:ascii="Arial" w:hAnsi="Arial" w:cs="Arial"/>
          <w:sz w:val="21"/>
          <w:szCs w:val="21"/>
        </w:rPr>
        <w:t>Nasdaq Basic Canada is a consolidated data feed providing an alternative solution for accessing Level 1 data for Canadian-listed securities.</w:t>
      </w:r>
    </w:p>
    <w:p w14:paraId="40856F08" w14:textId="0059C607" w:rsidR="000A1200" w:rsidRPr="00465501" w:rsidRDefault="000A1200" w:rsidP="00465501">
      <w:pPr>
        <w:shd w:val="clear" w:color="auto" w:fill="FFFFFF"/>
        <w:spacing w:before="225" w:after="60" w:line="240" w:lineRule="auto"/>
        <w:outlineLvl w:val="2"/>
        <w:rPr>
          <w:rFonts w:ascii="Arial" w:eastAsia="Times New Roman" w:hAnsi="Arial" w:cs="Arial"/>
          <w:b/>
          <w:bCs/>
          <w:color w:val="00669E"/>
          <w:sz w:val="21"/>
          <w:szCs w:val="21"/>
        </w:rPr>
      </w:pPr>
      <w:r w:rsidRPr="00465501">
        <w:rPr>
          <w:rFonts w:ascii="Arial" w:eastAsia="Times New Roman" w:hAnsi="Arial" w:cs="Arial"/>
          <w:b/>
          <w:bCs/>
          <w:color w:val="00669E"/>
          <w:sz w:val="21"/>
          <w:szCs w:val="21"/>
        </w:rPr>
        <w:t>Why is Nasdaq Introducing a Basic Canada Plus Enterprise License?</w:t>
      </w:r>
    </w:p>
    <w:p w14:paraId="2DBF8CC3" w14:textId="2887F13A" w:rsidR="00465501" w:rsidRPr="00D14C6E" w:rsidRDefault="000A1200" w:rsidP="000A1200">
      <w:pPr>
        <w:rPr>
          <w:rFonts w:ascii="Arial" w:hAnsi="Arial" w:cs="Arial"/>
          <w:sz w:val="21"/>
          <w:szCs w:val="21"/>
        </w:rPr>
      </w:pPr>
      <w:r w:rsidRPr="00D14C6E">
        <w:rPr>
          <w:rFonts w:ascii="Arial" w:hAnsi="Arial" w:cs="Arial"/>
          <w:sz w:val="21"/>
          <w:szCs w:val="21"/>
        </w:rPr>
        <w:t>As Investment Dealers look to save more money on market data in an increasingly competitive retail environment, Nasdaq is introducing a way to significantly reduce spend while increasing access to quality Information. Not only does this license includes unlimited distribution of Nasdaq Basic Canada, it also includes access to both CXC and CX2 Level 2 data. This license also expands the scope of eligible users to cover all individuals with a customer relationship with an Investment Dealer, including personal corporate accounts.</w:t>
      </w:r>
    </w:p>
    <w:p w14:paraId="24C3C0E0" w14:textId="14E8855F" w:rsidR="000A1200" w:rsidRPr="00465501" w:rsidRDefault="000A1200" w:rsidP="00465501">
      <w:pPr>
        <w:shd w:val="clear" w:color="auto" w:fill="FFFFFF"/>
        <w:spacing w:before="225" w:after="60" w:line="240" w:lineRule="auto"/>
        <w:outlineLvl w:val="2"/>
        <w:rPr>
          <w:rFonts w:ascii="Arial" w:eastAsia="Times New Roman" w:hAnsi="Arial" w:cs="Arial"/>
          <w:b/>
          <w:bCs/>
          <w:color w:val="00669E"/>
          <w:sz w:val="21"/>
          <w:szCs w:val="21"/>
        </w:rPr>
      </w:pPr>
      <w:r w:rsidRPr="00465501">
        <w:rPr>
          <w:rFonts w:ascii="Arial" w:eastAsia="Times New Roman" w:hAnsi="Arial" w:cs="Arial"/>
          <w:b/>
          <w:bCs/>
          <w:color w:val="00669E"/>
          <w:sz w:val="21"/>
          <w:szCs w:val="21"/>
        </w:rPr>
        <w:t>What is being offered?</w:t>
      </w:r>
    </w:p>
    <w:p w14:paraId="455D9F7D" w14:textId="2644D31B" w:rsidR="000A1200" w:rsidRPr="00D14C6E" w:rsidRDefault="000A1200" w:rsidP="000A1200">
      <w:pPr>
        <w:rPr>
          <w:rFonts w:ascii="Arial" w:hAnsi="Arial" w:cs="Arial"/>
          <w:sz w:val="21"/>
          <w:szCs w:val="21"/>
        </w:rPr>
      </w:pPr>
      <w:r w:rsidRPr="00D14C6E">
        <w:rPr>
          <w:rFonts w:ascii="Arial" w:hAnsi="Arial" w:cs="Arial"/>
          <w:sz w:val="21"/>
          <w:szCs w:val="21"/>
        </w:rPr>
        <w:t>The Nasdaq Basic Canada Plus Enterprise License is a dynamic offering of Nasdaq’s consolidated Level 1 feed, Basic Canada, and Level 2 data on its CXC and CX2 trading books. This license provides unlimited distribution of this data to all individuals with a customer relationship with an Investment Dealer. Please see the below price schedule:</w:t>
      </w:r>
    </w:p>
    <w:tbl>
      <w:tblPr>
        <w:tblStyle w:val="TableGrid"/>
        <w:tblW w:w="0" w:type="auto"/>
        <w:tblLook w:val="04A0" w:firstRow="1" w:lastRow="0" w:firstColumn="1" w:lastColumn="0" w:noHBand="0" w:noVBand="1"/>
      </w:tblPr>
      <w:tblGrid>
        <w:gridCol w:w="3116"/>
        <w:gridCol w:w="3117"/>
        <w:gridCol w:w="3117"/>
      </w:tblGrid>
      <w:tr w:rsidR="000A1200" w:rsidRPr="00D14C6E" w14:paraId="34BA0472" w14:textId="77777777" w:rsidTr="000A1200">
        <w:tc>
          <w:tcPr>
            <w:tcW w:w="3116" w:type="dxa"/>
          </w:tcPr>
          <w:p w14:paraId="652D26CD" w14:textId="77777777" w:rsidR="000A1200" w:rsidRPr="00D14C6E" w:rsidRDefault="000A1200" w:rsidP="000A1200">
            <w:pPr>
              <w:rPr>
                <w:rFonts w:ascii="Arial" w:hAnsi="Arial" w:cs="Arial"/>
                <w:sz w:val="21"/>
                <w:szCs w:val="21"/>
              </w:rPr>
            </w:pPr>
          </w:p>
        </w:tc>
        <w:tc>
          <w:tcPr>
            <w:tcW w:w="3117" w:type="dxa"/>
          </w:tcPr>
          <w:p w14:paraId="33BC6A88" w14:textId="72A9283F" w:rsidR="000A1200" w:rsidRPr="00D14C6E" w:rsidRDefault="00D14C6E" w:rsidP="000A1200">
            <w:pPr>
              <w:rPr>
                <w:rFonts w:ascii="Arial" w:hAnsi="Arial" w:cs="Arial"/>
                <w:sz w:val="21"/>
                <w:szCs w:val="21"/>
              </w:rPr>
            </w:pPr>
            <w:r w:rsidRPr="00D14C6E">
              <w:rPr>
                <w:rFonts w:ascii="Arial" w:hAnsi="Arial" w:cs="Arial"/>
                <w:sz w:val="21"/>
                <w:szCs w:val="21"/>
              </w:rPr>
              <w:t>12 Month Commitment</w:t>
            </w:r>
          </w:p>
        </w:tc>
        <w:tc>
          <w:tcPr>
            <w:tcW w:w="3117" w:type="dxa"/>
          </w:tcPr>
          <w:p w14:paraId="5E4FC15D" w14:textId="37C1A004" w:rsidR="000A1200" w:rsidRPr="00D14C6E" w:rsidRDefault="00D14C6E" w:rsidP="000A1200">
            <w:pPr>
              <w:rPr>
                <w:rFonts w:ascii="Arial" w:hAnsi="Arial" w:cs="Arial"/>
                <w:sz w:val="21"/>
                <w:szCs w:val="21"/>
              </w:rPr>
            </w:pPr>
            <w:r w:rsidRPr="00D14C6E">
              <w:rPr>
                <w:rFonts w:ascii="Arial" w:hAnsi="Arial" w:cs="Arial"/>
                <w:sz w:val="21"/>
                <w:szCs w:val="21"/>
              </w:rPr>
              <w:t>Month-to-Month</w:t>
            </w:r>
          </w:p>
        </w:tc>
      </w:tr>
      <w:tr w:rsidR="000A1200" w:rsidRPr="00D14C6E" w14:paraId="228FFBE5" w14:textId="77777777" w:rsidTr="000A1200">
        <w:tc>
          <w:tcPr>
            <w:tcW w:w="3116" w:type="dxa"/>
          </w:tcPr>
          <w:p w14:paraId="1DE760FC" w14:textId="420AB3D2" w:rsidR="000A1200" w:rsidRPr="00D14C6E" w:rsidRDefault="00D14C6E" w:rsidP="000A1200">
            <w:pPr>
              <w:rPr>
                <w:rFonts w:ascii="Arial" w:hAnsi="Arial" w:cs="Arial"/>
                <w:sz w:val="21"/>
                <w:szCs w:val="21"/>
              </w:rPr>
            </w:pPr>
            <w:r w:rsidRPr="00D14C6E">
              <w:rPr>
                <w:rFonts w:ascii="Arial" w:hAnsi="Arial" w:cs="Arial"/>
                <w:sz w:val="21"/>
                <w:szCs w:val="21"/>
              </w:rPr>
              <w:t>Basic Canada Plus EL</w:t>
            </w:r>
          </w:p>
        </w:tc>
        <w:tc>
          <w:tcPr>
            <w:tcW w:w="3117" w:type="dxa"/>
          </w:tcPr>
          <w:p w14:paraId="50806D6D" w14:textId="45AACCB2" w:rsidR="000A1200" w:rsidRPr="00D14C6E" w:rsidRDefault="00D14C6E" w:rsidP="000A1200">
            <w:pPr>
              <w:rPr>
                <w:rFonts w:ascii="Arial" w:hAnsi="Arial" w:cs="Arial"/>
                <w:sz w:val="21"/>
                <w:szCs w:val="21"/>
              </w:rPr>
            </w:pPr>
            <w:r w:rsidRPr="00D14C6E">
              <w:rPr>
                <w:rFonts w:ascii="Arial" w:hAnsi="Arial" w:cs="Arial"/>
                <w:sz w:val="21"/>
                <w:szCs w:val="21"/>
              </w:rPr>
              <w:t>$100,000 CAD/month</w:t>
            </w:r>
          </w:p>
        </w:tc>
        <w:tc>
          <w:tcPr>
            <w:tcW w:w="3117" w:type="dxa"/>
          </w:tcPr>
          <w:p w14:paraId="69F2CC2E" w14:textId="0F5F5744" w:rsidR="000A1200" w:rsidRPr="00D14C6E" w:rsidRDefault="00D14C6E" w:rsidP="000A1200">
            <w:pPr>
              <w:rPr>
                <w:rFonts w:ascii="Arial" w:hAnsi="Arial" w:cs="Arial"/>
                <w:sz w:val="21"/>
                <w:szCs w:val="21"/>
              </w:rPr>
            </w:pPr>
            <w:r w:rsidRPr="00D14C6E">
              <w:rPr>
                <w:rFonts w:ascii="Arial" w:hAnsi="Arial" w:cs="Arial"/>
                <w:sz w:val="21"/>
                <w:szCs w:val="21"/>
              </w:rPr>
              <w:t>$130,000 CAD/month</w:t>
            </w:r>
          </w:p>
        </w:tc>
      </w:tr>
    </w:tbl>
    <w:p w14:paraId="37515884" w14:textId="0026C8DC" w:rsidR="000A1200" w:rsidRDefault="000A1200" w:rsidP="000A1200">
      <w:pPr>
        <w:rPr>
          <w:rFonts w:ascii="Arial" w:hAnsi="Arial" w:cs="Arial"/>
        </w:rPr>
      </w:pPr>
    </w:p>
    <w:p w14:paraId="6AF457F7" w14:textId="16D24D36" w:rsidR="00465501" w:rsidRPr="00465501" w:rsidRDefault="00465501" w:rsidP="00465501">
      <w:pPr>
        <w:shd w:val="clear" w:color="auto" w:fill="FFFFFF"/>
        <w:spacing w:before="225" w:after="60" w:line="240" w:lineRule="auto"/>
        <w:outlineLvl w:val="2"/>
        <w:rPr>
          <w:rFonts w:ascii="Arial" w:eastAsia="Times New Roman" w:hAnsi="Arial" w:cs="Arial"/>
          <w:b/>
          <w:bCs/>
          <w:color w:val="00669E"/>
          <w:sz w:val="21"/>
          <w:szCs w:val="21"/>
        </w:rPr>
      </w:pPr>
      <w:r w:rsidRPr="00465501">
        <w:rPr>
          <w:rFonts w:ascii="Arial" w:eastAsia="Times New Roman" w:hAnsi="Arial" w:cs="Arial"/>
          <w:b/>
          <w:bCs/>
          <w:color w:val="00669E"/>
          <w:sz w:val="21"/>
          <w:szCs w:val="21"/>
        </w:rPr>
        <w:lastRenderedPageBreak/>
        <w:t>How is this license different than the current Nasdaq Basic Canada Enterprise License?</w:t>
      </w:r>
    </w:p>
    <w:p w14:paraId="01E28556" w14:textId="3A51D379" w:rsidR="00465501" w:rsidRDefault="00465501" w:rsidP="00465501">
      <w:pPr>
        <w:rPr>
          <w:rFonts w:ascii="Arial" w:hAnsi="Arial" w:cs="Arial"/>
          <w:sz w:val="21"/>
          <w:szCs w:val="21"/>
        </w:rPr>
      </w:pPr>
      <w:r w:rsidRPr="00465501">
        <w:rPr>
          <w:rFonts w:ascii="Arial" w:hAnsi="Arial" w:cs="Arial"/>
          <w:sz w:val="21"/>
          <w:szCs w:val="21"/>
        </w:rPr>
        <w:t>The current Nasdaq Basic Canada Enterprise License offers unlimited distribution of only the Nasdaq Basic Canada product. The Basic Canada Plus license extends that offering to include both CXC Level 2 and CX2 Level 2 data. Additionally, the Basic Canada Plus license extends the scope of eligible users to include all individuals with a customer relationship with an Investment Dealer, including personal corporate accounts.</w:t>
      </w:r>
    </w:p>
    <w:p w14:paraId="2D4ADFC6" w14:textId="77777777" w:rsidR="00465501" w:rsidRPr="00A66B3C" w:rsidRDefault="00465501" w:rsidP="00465501">
      <w:pPr>
        <w:shd w:val="clear" w:color="auto" w:fill="FFFFFF"/>
        <w:spacing w:before="225" w:after="60" w:line="240" w:lineRule="auto"/>
        <w:outlineLvl w:val="2"/>
        <w:rPr>
          <w:rFonts w:ascii="Arial" w:eastAsia="Times New Roman" w:hAnsi="Arial" w:cs="Arial"/>
          <w:b/>
          <w:bCs/>
          <w:color w:val="00669E"/>
          <w:sz w:val="21"/>
          <w:szCs w:val="21"/>
        </w:rPr>
      </w:pPr>
      <w:r w:rsidRPr="00A66B3C">
        <w:rPr>
          <w:rFonts w:ascii="Arial" w:eastAsia="Times New Roman" w:hAnsi="Arial" w:cs="Arial"/>
          <w:b/>
          <w:bCs/>
          <w:color w:val="00669E"/>
          <w:sz w:val="21"/>
          <w:szCs w:val="21"/>
        </w:rPr>
        <w:t>Where can I find additional information?</w:t>
      </w:r>
    </w:p>
    <w:p w14:paraId="2C7785C6" w14:textId="77777777" w:rsidR="00465501" w:rsidRPr="00A66B3C" w:rsidRDefault="00465501" w:rsidP="00465501">
      <w:pPr>
        <w:shd w:val="clear" w:color="auto" w:fill="FFFFFF"/>
        <w:spacing w:after="150" w:line="240" w:lineRule="auto"/>
        <w:rPr>
          <w:rFonts w:ascii="Arial" w:eastAsia="Times New Roman" w:hAnsi="Arial" w:cs="Arial"/>
          <w:color w:val="000000"/>
          <w:sz w:val="21"/>
          <w:szCs w:val="21"/>
        </w:rPr>
      </w:pPr>
      <w:r w:rsidRPr="00A66B3C">
        <w:rPr>
          <w:rFonts w:ascii="Arial" w:eastAsia="Times New Roman" w:hAnsi="Arial" w:cs="Arial"/>
          <w:color w:val="000000"/>
          <w:sz w:val="21"/>
          <w:szCs w:val="21"/>
        </w:rPr>
        <w:t>Fact sheets describing the product value proposition, technical details, and other content can be found on the Nasdaq Basic Canada webpage available below:</w:t>
      </w:r>
    </w:p>
    <w:p w14:paraId="0053C46A" w14:textId="77777777" w:rsidR="00465501" w:rsidRPr="00A66B3C" w:rsidRDefault="00AB7536" w:rsidP="00465501">
      <w:pPr>
        <w:numPr>
          <w:ilvl w:val="0"/>
          <w:numId w:val="1"/>
        </w:numPr>
        <w:shd w:val="clear" w:color="auto" w:fill="FFFFFF"/>
        <w:spacing w:after="0" w:line="240" w:lineRule="auto"/>
        <w:ind w:left="300"/>
        <w:rPr>
          <w:rFonts w:ascii="Arial" w:eastAsia="Times New Roman" w:hAnsi="Arial" w:cs="Arial"/>
          <w:color w:val="000000"/>
          <w:sz w:val="21"/>
          <w:szCs w:val="21"/>
        </w:rPr>
      </w:pPr>
      <w:hyperlink r:id="rId11" w:history="1">
        <w:r w:rsidR="00465501" w:rsidRPr="00A66B3C">
          <w:rPr>
            <w:rFonts w:ascii="Arial" w:eastAsia="Times New Roman" w:hAnsi="Arial" w:cs="Arial"/>
            <w:color w:val="0190C8"/>
            <w:sz w:val="21"/>
            <w:szCs w:val="21"/>
            <w:u w:val="single"/>
            <w:bdr w:val="none" w:sz="0" w:space="0" w:color="auto" w:frame="1"/>
          </w:rPr>
          <w:t>Nasdaq Basic Canada Information</w:t>
        </w:r>
      </w:hyperlink>
    </w:p>
    <w:p w14:paraId="28A2D4ED" w14:textId="77777777" w:rsidR="00465501" w:rsidRPr="00A66B3C" w:rsidRDefault="00465501" w:rsidP="00465501">
      <w:pPr>
        <w:spacing w:after="0" w:line="240" w:lineRule="auto"/>
        <w:rPr>
          <w:rFonts w:ascii="Arial" w:eastAsia="Times New Roman" w:hAnsi="Arial" w:cs="Arial"/>
          <w:sz w:val="21"/>
          <w:szCs w:val="21"/>
        </w:rPr>
      </w:pPr>
    </w:p>
    <w:p w14:paraId="6BF79BD4" w14:textId="5D900487" w:rsidR="00465501" w:rsidRDefault="00465501" w:rsidP="00465501">
      <w:pPr>
        <w:shd w:val="clear" w:color="auto" w:fill="FFFFFF"/>
        <w:spacing w:after="0" w:line="240" w:lineRule="auto"/>
        <w:rPr>
          <w:sz w:val="21"/>
          <w:szCs w:val="21"/>
        </w:rPr>
      </w:pPr>
      <w:r w:rsidRPr="00465501">
        <w:rPr>
          <w:rFonts w:ascii="Arial" w:hAnsi="Arial" w:cs="Arial"/>
          <w:color w:val="000000"/>
          <w:sz w:val="21"/>
          <w:szCs w:val="21"/>
          <w:shd w:val="clear" w:color="auto" w:fill="FFFFFF"/>
        </w:rPr>
        <w:t>If you’d like to learn more about how you can start saving with Nasdaq Basic Canada, please contact your</w:t>
      </w:r>
      <w:r w:rsidRPr="00465501">
        <w:rPr>
          <w:rStyle w:val="apple-converted-space"/>
          <w:rFonts w:ascii="Arial" w:hAnsi="Arial" w:cs="Arial"/>
          <w:color w:val="000000"/>
          <w:sz w:val="21"/>
          <w:szCs w:val="21"/>
          <w:shd w:val="clear" w:color="auto" w:fill="FFFFFF"/>
        </w:rPr>
        <w:t> </w:t>
      </w:r>
      <w:hyperlink r:id="rId12" w:history="1">
        <w:r w:rsidRPr="00465501">
          <w:rPr>
            <w:rStyle w:val="Hyperlink"/>
            <w:rFonts w:ascii="Arial" w:hAnsi="Arial" w:cs="Arial"/>
            <w:color w:val="0190C8"/>
            <w:sz w:val="21"/>
            <w:szCs w:val="21"/>
            <w:bdr w:val="none" w:sz="0" w:space="0" w:color="auto" w:frame="1"/>
          </w:rPr>
          <w:t>Nasdaq Sales Representative</w:t>
        </w:r>
      </w:hyperlink>
    </w:p>
    <w:p w14:paraId="790A9551" w14:textId="77777777" w:rsidR="00465501" w:rsidRPr="00465501" w:rsidRDefault="00465501" w:rsidP="00465501">
      <w:pPr>
        <w:shd w:val="clear" w:color="auto" w:fill="FFFFFF"/>
        <w:spacing w:after="0" w:line="240" w:lineRule="auto"/>
        <w:rPr>
          <w:rFonts w:ascii="Arial" w:eastAsia="Times New Roman" w:hAnsi="Arial" w:cs="Arial"/>
          <w:color w:val="000000"/>
          <w:sz w:val="21"/>
          <w:szCs w:val="21"/>
        </w:rPr>
      </w:pPr>
    </w:p>
    <w:p w14:paraId="152208AF" w14:textId="77777777" w:rsidR="00465501" w:rsidRPr="00465501" w:rsidRDefault="00465501" w:rsidP="00465501">
      <w:pPr>
        <w:shd w:val="clear" w:color="auto" w:fill="FFFFFF"/>
        <w:spacing w:after="0" w:line="240" w:lineRule="auto"/>
        <w:rPr>
          <w:rFonts w:ascii="Arial" w:eastAsia="Times New Roman" w:hAnsi="Arial" w:cs="Arial"/>
          <w:color w:val="000000"/>
          <w:sz w:val="21"/>
          <w:szCs w:val="21"/>
        </w:rPr>
      </w:pPr>
      <w:r w:rsidRPr="00465501">
        <w:rPr>
          <w:rFonts w:ascii="Arial" w:eastAsia="Times New Roman" w:hAnsi="Arial" w:cs="Arial"/>
          <w:color w:val="000000"/>
          <w:sz w:val="21"/>
          <w:szCs w:val="21"/>
        </w:rPr>
        <w:t>For additional information on the Nasdaq Basic Canada Plus Enterprise License and Nasdaq Canada, please contact </w:t>
      </w:r>
      <w:hyperlink r:id="rId13" w:history="1">
        <w:r w:rsidRPr="00465501">
          <w:rPr>
            <w:rFonts w:ascii="Arial" w:eastAsia="Times New Roman" w:hAnsi="Arial" w:cs="Arial"/>
            <w:color w:val="005B7F"/>
            <w:sz w:val="21"/>
            <w:szCs w:val="21"/>
            <w:u w:val="single"/>
            <w:bdr w:val="none" w:sz="0" w:space="0" w:color="auto" w:frame="1"/>
          </w:rPr>
          <w:t>Ca.MarketData@Nasdaq.com</w:t>
        </w:r>
      </w:hyperlink>
      <w:r w:rsidRPr="00465501">
        <w:rPr>
          <w:rFonts w:ascii="Arial" w:eastAsia="Times New Roman" w:hAnsi="Arial" w:cs="Arial"/>
          <w:color w:val="000000"/>
          <w:sz w:val="21"/>
          <w:szCs w:val="21"/>
        </w:rPr>
        <w:t> at +1 301 978 5307.</w:t>
      </w:r>
    </w:p>
    <w:p w14:paraId="6FF0A227" w14:textId="77777777" w:rsidR="00465501" w:rsidRDefault="00465501" w:rsidP="00465501">
      <w:pPr>
        <w:rPr>
          <w:rFonts w:ascii="Arial" w:eastAsia="Times New Roman" w:hAnsi="Arial" w:cs="Arial"/>
          <w:color w:val="000000"/>
          <w:sz w:val="21"/>
          <w:szCs w:val="21"/>
        </w:rPr>
      </w:pPr>
    </w:p>
    <w:p w14:paraId="2ED7F125" w14:textId="77777777" w:rsidR="00465501" w:rsidRPr="00465501" w:rsidRDefault="00465501" w:rsidP="00465501">
      <w:pPr>
        <w:rPr>
          <w:rFonts w:ascii="Arial" w:hAnsi="Arial" w:cs="Arial"/>
          <w:sz w:val="21"/>
          <w:szCs w:val="21"/>
        </w:rPr>
      </w:pPr>
    </w:p>
    <w:sectPr w:rsidR="00465501" w:rsidRPr="004655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37C51" w14:textId="77777777" w:rsidR="00C30099" w:rsidRDefault="00C30099" w:rsidP="000F6F82">
      <w:pPr>
        <w:spacing w:after="0" w:line="240" w:lineRule="auto"/>
      </w:pPr>
      <w:r>
        <w:separator/>
      </w:r>
    </w:p>
  </w:endnote>
  <w:endnote w:type="continuationSeparator" w:id="0">
    <w:p w14:paraId="6346FCB6" w14:textId="77777777" w:rsidR="00C30099" w:rsidRDefault="00C30099" w:rsidP="000F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6DA9F" w14:textId="77777777" w:rsidR="00C30099" w:rsidRDefault="00C30099" w:rsidP="000F6F82">
      <w:pPr>
        <w:spacing w:after="0" w:line="240" w:lineRule="auto"/>
      </w:pPr>
      <w:r>
        <w:separator/>
      </w:r>
    </w:p>
  </w:footnote>
  <w:footnote w:type="continuationSeparator" w:id="0">
    <w:p w14:paraId="7C4DEFEC" w14:textId="77777777" w:rsidR="00C30099" w:rsidRDefault="00C30099" w:rsidP="000F6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A53EA0"/>
    <w:multiLevelType w:val="multilevel"/>
    <w:tmpl w:val="60B2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16165F"/>
    <w:multiLevelType w:val="multilevel"/>
    <w:tmpl w:val="F7F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82"/>
    <w:rsid w:val="000A1200"/>
    <w:rsid w:val="000F6F82"/>
    <w:rsid w:val="0012591E"/>
    <w:rsid w:val="00196B18"/>
    <w:rsid w:val="001C0225"/>
    <w:rsid w:val="00294D5E"/>
    <w:rsid w:val="00465501"/>
    <w:rsid w:val="00623437"/>
    <w:rsid w:val="00AB7536"/>
    <w:rsid w:val="00B47DF1"/>
    <w:rsid w:val="00C30099"/>
    <w:rsid w:val="00D14C6E"/>
    <w:rsid w:val="3007F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63B4BD"/>
  <w15:chartTrackingRefBased/>
  <w15:docId w15:val="{A9165AC0-B3ED-47B9-BCF5-D806EB07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65501"/>
    <w:rPr>
      <w:color w:val="0000FF"/>
      <w:u w:val="single"/>
    </w:rPr>
  </w:style>
  <w:style w:type="character" w:customStyle="1" w:styleId="apple-converted-space">
    <w:name w:val="apple-converted-space"/>
    <w:basedOn w:val="DefaultParagraphFont"/>
    <w:rsid w:val="00465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MarketData@Nasdaq.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sales@nasdaq.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sdaq.com/solutions/nasdaq-basic-canad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471D214248D41997A916798A35080" ma:contentTypeVersion="15" ma:contentTypeDescription="Create a new document." ma:contentTypeScope="" ma:versionID="20f7575d5fda6c88d8856ff2b918575f">
  <xsd:schema xmlns:xsd="http://www.w3.org/2001/XMLSchema" xmlns:xs="http://www.w3.org/2001/XMLSchema" xmlns:p="http://schemas.microsoft.com/office/2006/metadata/properties" xmlns:ns1="http://schemas.microsoft.com/sharepoint/v3" xmlns:ns2="210205aa-e4f8-4b87-b9d2-b14de7683a29" xmlns:ns3="b52f0102-b5a2-44bd-84ad-b92fa2421420" targetNamespace="http://schemas.microsoft.com/office/2006/metadata/properties" ma:root="true" ma:fieldsID="3c060df41293790320167327801c9b3b" ns1:_="" ns2:_="" ns3:_="">
    <xsd:import namespace="http://schemas.microsoft.com/sharepoint/v3"/>
    <xsd:import namespace="210205aa-e4f8-4b87-b9d2-b14de7683a29"/>
    <xsd:import namespace="b52f0102-b5a2-44bd-84ad-b92fa2421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0205aa-e4f8-4b87-b9d2-b14de7683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2f0102-b5a2-44bd-84ad-b92fa242142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A28017-4F35-4874-8832-7CB6917B9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0205aa-e4f8-4b87-b9d2-b14de7683a29"/>
    <ds:schemaRef ds:uri="b52f0102-b5a2-44bd-84ad-b92fa2421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147BF-1277-47CE-8A00-D34DF0EDD3D3}">
  <ds:schemaRefs>
    <ds:schemaRef ds:uri="http://schemas.microsoft.com/sharepoint/v3/contenttype/forms"/>
  </ds:schemaRefs>
</ds:datastoreItem>
</file>

<file path=customXml/itemProps3.xml><?xml version="1.0" encoding="utf-8"?>
<ds:datastoreItem xmlns:ds="http://schemas.openxmlformats.org/officeDocument/2006/customXml" ds:itemID="{43114E5D-2E68-435A-8414-1158F3792BB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Mahoney</dc:creator>
  <cp:keywords/>
  <dc:description/>
  <cp:lastModifiedBy>Kate Davis</cp:lastModifiedBy>
  <cp:revision>5</cp:revision>
  <dcterms:created xsi:type="dcterms:W3CDTF">2022-01-03T19:45:00Z</dcterms:created>
  <dcterms:modified xsi:type="dcterms:W3CDTF">2022-01-06T15:57:00Z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53105-2268-48cc-bbbd-15c277f43ddd_Enabled">
    <vt:lpwstr>true</vt:lpwstr>
  </property>
  <property fmtid="{D5CDD505-2E9C-101B-9397-08002B2CF9AE}" pid="3" name="MSIP_Label_88c53105-2268-48cc-bbbd-15c277f43ddd_SetDate">
    <vt:lpwstr>2021-12-01T23:44:45Z</vt:lpwstr>
  </property>
  <property fmtid="{D5CDD505-2E9C-101B-9397-08002B2CF9AE}" pid="4" name="MSIP_Label_88c53105-2268-48cc-bbbd-15c277f43ddd_Method">
    <vt:lpwstr>Standard</vt:lpwstr>
  </property>
  <property fmtid="{D5CDD505-2E9C-101B-9397-08002B2CF9AE}" pid="5" name="MSIP_Label_88c53105-2268-48cc-bbbd-15c277f43ddd_Name">
    <vt:lpwstr>Public</vt:lpwstr>
  </property>
  <property fmtid="{D5CDD505-2E9C-101B-9397-08002B2CF9AE}" pid="6" name="MSIP_Label_88c53105-2268-48cc-bbbd-15c277f43ddd_SiteId">
    <vt:lpwstr>d0b75e95-684a-45e3-8d2d-53fa2a6a513f</vt:lpwstr>
  </property>
  <property fmtid="{D5CDD505-2E9C-101B-9397-08002B2CF9AE}" pid="7" name="MSIP_Label_88c53105-2268-48cc-bbbd-15c277f43ddd_ActionId">
    <vt:lpwstr>9f46521d-9115-423d-a794-22dc623da28e</vt:lpwstr>
  </property>
  <property fmtid="{D5CDD505-2E9C-101B-9397-08002B2CF9AE}" pid="8" name="MSIP_Label_88c53105-2268-48cc-bbbd-15c277f43ddd_ContentBits">
    <vt:lpwstr>0</vt:lpwstr>
  </property>
  <property fmtid="{D5CDD505-2E9C-101B-9397-08002B2CF9AE}" pid="9" name="ContentTypeId">
    <vt:lpwstr>0x01010001A471D214248D41997A916798A35080</vt:lpwstr>
  </property>
</Properties>
</file>